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18"/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u w:val="single"/>
          <w:shd w:val="clear" w:color="auto" w:fill="ffffff"/>
        </w:rPr>
        <w:t xml:space="preserve">MENSAGEM LEGISLATIVA</w:t>
      </w:r>
    </w:p>
    <w:p>
      <w:pPr>
        <w:ind w:firstLine="1418"/>
        <w:rPr>
          <w:rFonts w:ascii="Verdana" w:hAnsi="Verdana"/>
          <w:sz w:val="20"/>
          <w:szCs w:val="20"/>
          <w:shd w:val="clear" w:color="auto" w:fill="ffffff"/>
        </w:rPr>
      </w:pPr>
    </w:p>
    <w:p>
      <w:pPr>
        <w:ind w:firstLine="1418"/>
        <w:rPr>
          <w:rFonts w:ascii="Verdana" w:hAnsi="Verdana"/>
          <w:sz w:val="20"/>
          <w:szCs w:val="20"/>
          <w:shd w:val="clear" w:color="auto" w:fill="ffffff"/>
        </w:rPr>
      </w:pPr>
    </w:p>
    <w:p>
      <w:pPr>
        <w:ind w:firstLine="141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SENHOR PRESIDENTE;</w:t>
      </w:r>
    </w:p>
    <w:p>
      <w:pPr>
        <w:ind w:firstLine="141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SENHORES VEREADORES:</w:t>
      </w:r>
    </w:p>
    <w:p>
      <w:pPr>
        <w:ind w:firstLine="1418"/>
        <w:rPr>
          <w:rFonts w:ascii="Verdana" w:hAnsi="Verdana"/>
          <w:b/>
          <w:sz w:val="20"/>
          <w:szCs w:val="20"/>
        </w:rPr>
      </w:pP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Considerando, </w:t>
      </w:r>
      <w:r>
        <w:rPr>
          <w:rFonts w:ascii="Verdana" w:hAnsi="Verdana" w:cs="Helvetica"/>
          <w:color w:val="auto"/>
          <w:sz w:val="20"/>
          <w:szCs w:val="20"/>
        </w:rPr>
        <w:t xml:space="preserve">que a Lei Nº 4.291/2015, adequou a carga horária para quarenta </w:t>
      </w:r>
      <w:r>
        <w:rPr>
          <w:rFonts w:ascii="Verdana" w:hAnsi="Verdana" w:cs="Helvetica"/>
          <w:color w:val="auto"/>
          <w:sz w:val="20"/>
          <w:szCs w:val="20"/>
        </w:rPr>
        <w:t xml:space="preserve">horais</w:t>
      </w:r>
      <w:r>
        <w:rPr>
          <w:rFonts w:ascii="Verdana" w:hAnsi="Verdana" w:cs="Helvetica"/>
          <w:color w:val="auto"/>
          <w:sz w:val="20"/>
          <w:szCs w:val="20"/>
        </w:rPr>
        <w:t xml:space="preserve"> semanais, de todos os servidores municipais, que possuíam um carga horária de quarenta e quatro horas semanais, 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excluindo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 no entanto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 os cargos de: motoristas, motoristas operadores de guindaste, pedreiros, garis, operários, operários especializados, operadores de máquinas, vigilantes e zeladores de estrada, </w:t>
      </w:r>
      <w:r>
        <w:rPr>
          <w:rFonts w:ascii="Verdana" w:hAnsi="Verdana" w:cs="Helvetica"/>
          <w:color w:val="auto"/>
          <w:sz w:val="20"/>
          <w:szCs w:val="20"/>
        </w:rPr>
        <w:t xml:space="preserve">penalizando de forma injusta estes servidores;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</w:t>
      </w:r>
      <w:r>
        <w:rPr>
          <w:rFonts w:ascii="Verdana" w:hAnsi="Verdana" w:cs="Helvetica"/>
          <w:color w:val="auto"/>
          <w:sz w:val="20"/>
          <w:szCs w:val="20"/>
        </w:rPr>
        <w:t xml:space="preserve">, que a exclusão destes servidores do rol dos demais beneficiários com a adequação da carga horária, salvo melhor juízo, fere os princípios básicos da administração pública prevista no Art. 37 da Constituição, em especial o da impessoalidade: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 </w:t>
      </w:r>
      <w:hyperlink r:id="rId12" w:anchor="art3" w:history="1">
        <w:r>
          <w:rPr>
            <w:rStyle w:val="Hyperlink"/>
            <w:rFonts w:ascii="Verdana" w:hAnsi="Verdana" w:cs="Helvetica"/>
            <w:color w:val="auto"/>
            <w:sz w:val="20"/>
            <w:szCs w:val="20"/>
          </w:rPr>
          <w:t xml:space="preserve">(Redação dada pela Emenda Constitucional nº 19, de 1998)</w:t>
        </w:r>
      </w:hyperlink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Considerando, </w:t>
      </w:r>
      <w:r>
        <w:rPr>
          <w:rFonts w:ascii="Verdana" w:hAnsi="Verdana" w:cs="Helvetica"/>
          <w:color w:val="auto"/>
          <w:sz w:val="20"/>
          <w:szCs w:val="20"/>
        </w:rPr>
        <w:t xml:space="preserve">que a exclusão destes servidores acarretou uma inconformidade dos servidores pelo tratamento diferenciado recebido;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</w:t>
      </w:r>
      <w:r>
        <w:rPr>
          <w:rFonts w:ascii="Verdana" w:hAnsi="Verdana" w:cs="Helvetica"/>
          <w:color w:val="auto"/>
          <w:sz w:val="20"/>
          <w:szCs w:val="20"/>
        </w:rPr>
        <w:t xml:space="preserve"> que exclusão destes servidores acarreta tratamento diferenciado inclusive dentro do seu 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V – GRUPO DE SERVIÇOS GERAIS E DE APOIO – SGA</w:t>
      </w:r>
      <w:r>
        <w:rPr>
          <w:rFonts w:ascii="Verdana" w:hAnsi="Verdana" w:cs="Helvetica"/>
          <w:color w:val="auto"/>
          <w:sz w:val="20"/>
          <w:szCs w:val="20"/>
        </w:rPr>
        <w:t xml:space="preserve">, s da Lei Municipal Nº 2.605;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 </w:t>
      </w:r>
      <w:r>
        <w:rPr>
          <w:rFonts w:ascii="Verdana" w:hAnsi="Verdana" w:cs="Helvetica"/>
          <w:color w:val="auto"/>
          <w:sz w:val="20"/>
          <w:szCs w:val="20"/>
        </w:rPr>
        <w:t xml:space="preserve">que o 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Padrão 04 de Vencimentos dos Motoristas da</w:t>
      </w:r>
      <w:r>
        <w:rPr>
          <w:rFonts w:ascii="Verdana" w:hAnsi="Verdana" w:cs="Helvetica"/>
          <w:color w:val="auto"/>
          <w:sz w:val="20"/>
          <w:szCs w:val="20"/>
        </w:rPr>
        <w:t xml:space="preserve"> 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Prefeitura Municipal hoje em R$1.148,55 o Motorista da Câmara tem vencimento inicial de R$: 1.668,81 </w:t>
      </w:r>
      <w:r>
        <w:rPr>
          <w:rFonts w:ascii="Verdana" w:hAnsi="Verdana" w:cs="Helvetica"/>
          <w:color w:val="auto"/>
          <w:sz w:val="20"/>
          <w:szCs w:val="20"/>
        </w:rPr>
        <w:t xml:space="preserve">os valores são menores relação ao salário médio pago aos motoristas da região de Pelotas e adjacências que está em torno de </w:t>
      </w:r>
      <w:r>
        <w:rPr>
          <w:rFonts w:ascii="Verdana" w:hAnsi="Verdana" w:cs="Helvetica"/>
          <w:color w:val="auto"/>
          <w:sz w:val="20"/>
          <w:szCs w:val="20"/>
        </w:rPr>
        <w:t xml:space="preserve">R$:</w:t>
      </w:r>
      <w:r>
        <w:rPr>
          <w:rFonts w:ascii="Verdana" w:hAnsi="Verdana" w:cs="Helvetica"/>
          <w:color w:val="auto"/>
          <w:sz w:val="20"/>
          <w:szCs w:val="20"/>
        </w:rPr>
        <w:t xml:space="preserve">1.782,00, aos quais normalmente ainda são acrescidos: vale transporte e vale alimentação e, aos motoristas de transporte coletivo e pesado os valores oscilam próximos aos R$: 2.700,00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</w:t>
      </w:r>
      <w:r>
        <w:rPr>
          <w:rFonts w:ascii="Verdana" w:hAnsi="Verdana" w:cs="Helvetica"/>
          <w:color w:val="auto"/>
          <w:sz w:val="20"/>
          <w:szCs w:val="20"/>
        </w:rPr>
        <w:t xml:space="preserve">, que o projeto visa alteração do Padrão 04 R$: 1.148,55 para Padrão 06 R$: 1.210,54, acarretará 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um acréscimo de apenas 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R$:</w:t>
      </w: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61,99</w:t>
      </w:r>
      <w:r>
        <w:rPr>
          <w:rFonts w:ascii="Verdana" w:hAnsi="Verdana" w:cs="Helvetica"/>
          <w:color w:val="auto"/>
          <w:sz w:val="20"/>
          <w:szCs w:val="20"/>
        </w:rPr>
        <w:t xml:space="preserve"> ficando abaixo dos valores pagos por este Poder Legislativo e pela iniciativa privada;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</w:t>
      </w:r>
      <w:r>
        <w:rPr>
          <w:rFonts w:ascii="Verdana" w:hAnsi="Verdana" w:cs="Helvetica"/>
          <w:color w:val="auto"/>
          <w:sz w:val="20"/>
          <w:szCs w:val="20"/>
        </w:rPr>
        <w:t xml:space="preserve"> a necessidade de equacionarmos e promovermos a impessoalidade, justiça e a igualdade entre servidores em relação </w:t>
      </w:r>
      <w:r>
        <w:rPr>
          <w:rFonts w:ascii="Verdana" w:hAnsi="Verdana" w:cs="Helvetica"/>
          <w:color w:val="auto"/>
          <w:sz w:val="20"/>
          <w:szCs w:val="20"/>
        </w:rPr>
        <w:t xml:space="preserve">a</w:t>
      </w:r>
      <w:r>
        <w:rPr>
          <w:rFonts w:ascii="Verdana" w:hAnsi="Verdana" w:cs="Helvetica"/>
          <w:color w:val="auto"/>
          <w:sz w:val="20"/>
          <w:szCs w:val="20"/>
        </w:rPr>
        <w:t xml:space="preserve"> carga horária máxima;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Considerando</w:t>
      </w:r>
      <w:r>
        <w:rPr>
          <w:rFonts w:ascii="Verdana" w:hAnsi="Verdana" w:cs="Helvetica"/>
          <w:color w:val="auto"/>
          <w:sz w:val="20"/>
          <w:szCs w:val="20"/>
        </w:rPr>
        <w:t xml:space="preserve">, a necessidade de adequarmos os valores dos vencimentos dos motoristas da Prefeitura a realidade salarial média paga na região.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ANTE O EXPOSTO</w:t>
      </w:r>
      <w:r>
        <w:rPr>
          <w:rFonts w:ascii="Verdana" w:hAnsi="Verdana" w:cs="Helvetica"/>
          <w:color w:val="auto"/>
          <w:sz w:val="20"/>
          <w:szCs w:val="20"/>
        </w:rPr>
        <w:t xml:space="preserve">, o vereador apresenta projeto de lei que promove justiça e igualdade aos servidores excluídos da adequação de carga horária pela Lei Nº 4.291/2015 e </w:t>
      </w:r>
      <w:r>
        <w:rPr>
          <w:rFonts w:ascii="Verdana" w:hAnsi="Verdana" w:cs="Helvetica"/>
          <w:color w:val="auto"/>
          <w:sz w:val="20"/>
          <w:szCs w:val="20"/>
        </w:rPr>
        <w:t xml:space="preserve">adequa</w:t>
      </w:r>
      <w:r>
        <w:rPr>
          <w:rFonts w:ascii="Verdana" w:hAnsi="Verdana" w:cs="Helvetica"/>
          <w:color w:val="auto"/>
          <w:sz w:val="20"/>
          <w:szCs w:val="20"/>
        </w:rPr>
        <w:t xml:space="preserve"> os valores percebidos pelos motoristas do município aos pagos na região pela iniciativa privada, na convicção do pleno apoio e acatamento dos nobres pares desta Casa Legislativa.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 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 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Sala de Sessões Joaquim de Deus Nunes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Canguçu/RS, 18 de julho de 2022.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 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Style w:val="Forte"/>
          <w:rFonts w:ascii="Verdana" w:hAnsi="Verdana" w:cs="Helvetica"/>
          <w:color w:val="auto"/>
          <w:sz w:val="20"/>
          <w:szCs w:val="20"/>
        </w:rPr>
        <w:t xml:space="preserve">CESAR AUGUSTO BITTENCOURT MADRID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Helvetica"/>
          <w:color w:val="auto"/>
          <w:sz w:val="20"/>
          <w:szCs w:val="20"/>
        </w:rPr>
      </w:pPr>
      <w:r>
        <w:rPr>
          <w:rFonts w:ascii="Verdana" w:hAnsi="Verdana" w:cs="Helvetica"/>
          <w:color w:val="auto"/>
          <w:sz w:val="20"/>
          <w:szCs w:val="20"/>
        </w:rPr>
        <w:t xml:space="preserve">Vereador/Bancada Progressista</w:t>
      </w:r>
    </w:p>
    <w:p>
      <w:p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</w:p>
    <w:p>
      <w:pPr>
        <w:spacing w:line="276" w:lineRule="auto"/>
        <w:rPr>
          <w:rFonts w:ascii="Verdana" w:hAnsi="Verdana"/>
          <w:bCs/>
          <w:sz w:val="20"/>
          <w:szCs w:val="20"/>
        </w:rPr>
      </w:pPr>
    </w:p>
    <w:p>
      <w:pPr>
        <w:spacing w:line="276" w:lineRule="auto"/>
        <w:rPr>
          <w:rFonts w:ascii="Verdana" w:hAnsi="Verdana"/>
          <w:bCs/>
          <w:sz w:val="20"/>
          <w:szCs w:val="20"/>
        </w:rPr>
      </w:pPr>
    </w:p>
    <w:p>
      <w:pPr>
        <w:spacing w:line="276" w:lineRule="auto"/>
        <w:rPr>
          <w:rFonts w:ascii="Verdana" w:hAnsi="Verdana"/>
          <w:b/>
          <w:sz w:val="20"/>
          <w:szCs w:val="20"/>
        </w:rPr>
      </w:pPr>
    </w:p>
    <w:p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PROJETO DE LEI</w:t>
      </w:r>
    </w:p>
    <w:p>
      <w:pPr>
        <w:spacing w:line="276" w:lineRule="auto"/>
        <w:rPr>
          <w:rFonts w:ascii="Verdana" w:hAnsi="Verdana"/>
          <w:b/>
          <w:sz w:val="20"/>
          <w:szCs w:val="20"/>
        </w:rPr>
      </w:pPr>
    </w:p>
    <w:p>
      <w:pPr>
        <w:shd w:val="clear" w:color="auto" w:fill="ffffff"/>
        <w:ind w:left="3686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ALTERA A CARGA HORÁRIA E PADRÃO DE CARGOS INSTITUÍDOS PELA LEI Nº 2.605/2005 DE 05/12/2005 E ALTERAÇÕES POSTERIORES E DÁ OUTRAS PROVIDÊNCIAS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MARCUS VINICIUS MULLER PEGORARO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, Prefeito Municipal de Canguçu, Estado do Rio Grande do Sul, no uso das atribuições que lhe são conferidas pela Lei Orgânica do Município;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FAÇO SABER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, que a Câmara Municipal de Vereadores aprovou e eu sanciono a seguinte Lei: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Art.1º. 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Ficam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 adequadas para quarenta horas semanais, a carga horária dos seguintes servidores da Prefeitura Municipal de Canguçu: motorista, motorista operador de guindaste, pedreiro, gari, operário, operário especializado, operador de máquinas, vigilante e zelador, conforme anexo I desta lei, sem prejuízo de seus vencimentos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Parágrafo Único: 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A adequação da carga horária não gera direitos de quaisquer diferenças salariais retroativas.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Art. 2º. 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Fica alterado o padrão de vencimento do cargo de motorista de 04 para 06, o qual passará a ser: Padrão de Vencimento: 04 – Código: - SGA-07-A-B-C-D-E-F-G-06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Parágrafo Único: 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A alteração do padrão de vencimento do cargo não gera direitos de quaisquer diferenças salariais ou vantagens retroativas.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Art.3º </w:t>
      </w: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Esta Lei entra em vigor na data de sua publicação.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Canguçu/RS,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                       </w:t>
      </w: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MARCUS VINICIUS MULLER PEGORARO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                                  Prefeito Municipal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hd w:val="clear" w:color="auto" w:fill="ffffff"/>
        <w:ind w:left="2006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ANEXO I</w:t>
      </w:r>
    </w:p>
    <w:p>
      <w:pPr>
        <w:shd w:val="clear" w:color="auto" w:fill="ffffff"/>
        <w:ind w:left="2006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b/>
          <w:bCs/>
          <w:sz w:val="20"/>
          <w:szCs w:val="20"/>
          <w:lang w:eastAsia="pt-BR"/>
        </w:rPr>
        <w:t xml:space="preserve">RELAÇÃO DE CARGOS E HORÁRIOS</w:t>
      </w:r>
    </w:p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tbl>
      <w:tblPr>
        <w:tblW w:w="13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3"/>
        <w:gridCol w:w="4987"/>
      </w:tblGrid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b/>
                <w:bCs/>
                <w:sz w:val="20"/>
                <w:szCs w:val="20"/>
                <w:lang w:eastAsia="pt-BR"/>
              </w:rPr>
              <w:t xml:space="preserve">Denominação do Cargo e/ou Emprego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b/>
                <w:bCs/>
                <w:sz w:val="20"/>
                <w:szCs w:val="20"/>
                <w:lang w:eastAsia="pt-BR"/>
              </w:rPr>
              <w:t xml:space="preserve">Carga Horária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Agente Comunitário de Saúde (Celetistas)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Agente de Saúde da Dengue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Almoxarife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Atendente de Biblioteca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Auxiliar de Administração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Auxiliar de Enfermagem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Auxiliar de Educação infantil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Auxiliar de Mecânico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Auxiliar em Saúde Bucal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Auxiliar Técnico de Projeto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Carpinteiro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Chapista</w:t>
            </w: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 de Automóvel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Contínuo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8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Contramestre Mecânico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8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Cozinheiro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Datilógrafo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Educador Social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Eletricista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Fiscal de Obras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Fiscal de Obras e Posturas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Fiscal de Trânsito e Transportes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Fiscal Sanitarista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Fiscal de Transporte Escolar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Fiscal Tributário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Gari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Mecânico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Mecânico Especializado de Máquinas Pesadas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Mestre Eletricista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Motorista Operador de Guindaste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Motorista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7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Oficial Administrativo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Operador de Máquina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Operador de Sistemas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Operário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8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Operário Especializado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Padeiro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Pedreiro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Pintor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Recepcionista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Secretário de Escola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Servente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Eletrotécnica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Fiscalização Ambiental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7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Informática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Planejamento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Prótese Dentária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Agricultura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8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Edificações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Segurança do Trabalho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Técnico em Contabilidade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Telefonista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Tesoureiro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Topógrafo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Turismólogo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33 horas</w:t>
            </w:r>
          </w:p>
        </w:tc>
      </w:tr>
      <w:tr>
        <w:trPr>
          <w:trHeight w:val="270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7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Vigilante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  <w:tr>
        <w:trPr>
          <w:trHeight w:val="285"/>
        </w:trPr>
        <w:tc>
          <w:tcPr>
            <w:tcW w:w="5640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ind w:left="289"/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Zelador de Estrada</w:t>
            </w:r>
          </w:p>
        </w:tc>
        <w:tc>
          <w:tcPr>
            <w:tcW w:w="3375" w:type="dxa"/>
            <w:tcBorders>
              <w:top w:val="none"/>
              <w:left w:val="none"/>
              <w:bottom w:val="none"/>
              <w:right w:val="none"/>
            </w:tcBorders>
            <w:shd w:val="clear" w:color="auto" w:fill="ffffff"/>
            <w:vAlign w:val="center"/>
            <w:hideMark/>
          </w:tcPr>
          <w:p>
            <w:pP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</w:pPr>
            <w:r>
              <w:rPr>
                <w:rFonts w:ascii="Verdana" w:hAnsi="Verdana" w:cs="Helvetica" w:eastAsia="Times New Roman"/>
                <w:sz w:val="20"/>
                <w:szCs w:val="20"/>
                <w:lang w:eastAsia="pt-BR"/>
              </w:rPr>
              <w:t xml:space="preserve">40 horas</w:t>
            </w:r>
          </w:p>
        </w:tc>
      </w:tr>
    </w:tbl>
    <w:p>
      <w:pPr>
        <w:shd w:val="clear" w:color="auto" w:fill="ffffff"/>
        <w:rPr>
          <w:rFonts w:ascii="Verdana" w:hAnsi="Verdana" w:cs="Helvetica" w:eastAsia="Times New Roman"/>
          <w:sz w:val="20"/>
          <w:szCs w:val="20"/>
          <w:lang w:eastAsia="pt-BR"/>
        </w:rPr>
      </w:pPr>
      <w:r>
        <w:rPr>
          <w:rFonts w:ascii="Verdana" w:hAnsi="Verdana" w:cs="Helvetica" w:eastAsia="Times New Roman"/>
          <w:sz w:val="20"/>
          <w:szCs w:val="20"/>
          <w:lang w:eastAsia="pt-BR"/>
        </w:rPr>
        <w:t xml:space="preserve"> </w:t>
      </w:r>
    </w:p>
    <w:p>
      <w:pPr>
        <w:spacing w:line="276" w:lineRule="auto"/>
        <w:ind w:firstLine="1418"/>
        <w:rPr>
          <w:rFonts w:ascii="Verdana" w:hAnsi="Verdana"/>
          <w:sz w:val="20"/>
          <w:szCs w:val="20"/>
        </w:rPr>
      </w:pPr>
    </w:p>
    <w:p>
      <w:pPr>
        <w:spacing w:line="276" w:lineRule="auto"/>
        <w:ind w:firstLine="1418"/>
        <w:rPr>
          <w:rFonts w:ascii="Verdana" w:hAnsi="Verdana"/>
          <w:sz w:val="20"/>
          <w:szCs w:val="20"/>
        </w:rPr>
      </w:pPr>
    </w:p>
    <w:p>
      <w:pPr>
        <w:spacing w:line="276" w:lineRule="auto"/>
        <w:ind w:firstLine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INICIATIVA: PODER LEGISLATIVO</w:t>
      </w:r>
    </w:p>
    <w:p>
      <w:pPr>
        <w:spacing w:line="276" w:lineRule="auto"/>
        <w:ind w:firstLine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AUTOR: </w:t>
      </w:r>
      <w:r>
        <w:rPr>
          <w:rFonts w:ascii="Verdana" w:hAnsi="Verdana"/>
          <w:b/>
          <w:sz w:val="20"/>
          <w:szCs w:val="20"/>
        </w:rPr>
        <w:t xml:space="preserve">VEREADOR </w:t>
      </w:r>
      <w:r>
        <w:rPr>
          <w:rFonts w:ascii="Verdana" w:hAnsi="Verdana"/>
          <w:b/>
          <w:sz w:val="20"/>
          <w:szCs w:val="20"/>
        </w:rPr>
        <w:t xml:space="preserve">CESAR AUGUSTO BITENCOURT MADRID</w:t>
      </w:r>
    </w:p>
    <w:sectPr>
      <w:headerReference w:type="default" r:id="rId9"/>
      <w:footerReference w:type="default" r:id="rId10"/>
      <w:pgSz w:w="11906" w:h="16838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ahoma">
    <w:panose1 w:val="020B0604030504040204"/>
  </w:font>
  <w:font w:name="Bell MT">
    <w:panose1 w:val="02020603050405020304"/>
  </w:font>
  <w:font w:name="Cambria">
    <w:panose1 w:val="02040503050406030204"/>
  </w:font>
  <w:font w:name="Helvetica">
    <w:panose1 w:val="020B060402020202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Verdana">
    <w:panose1 w:val="020B060403050404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Rodap"/>
      <w:pBdr>
        <w:bottom w:val="single" w:color="auto" w:sz="4" w:space="1"/>
      </w:pBdr>
      <w:spacing w:after="100"/>
      <w:jc w:val="center"/>
      <w:rPr>
        <w:rFonts w:ascii="Bell MT" w:hAnsi="Bell MT"/>
        <w:i/>
        <w:sz w:val="28"/>
        <w:szCs w:val="28"/>
      </w:rPr>
    </w:pPr>
    <w:r>
      <w:rPr>
        <w:rFonts w:ascii="Bell MT" w:hAnsi="Bell MT"/>
        <w:i/>
        <w:sz w:val="28"/>
        <w:szCs w:val="28"/>
      </w:rPr>
      <w:t xml:space="preserve">“Doe Órgãos, Doe Sangue: Salve Vidas”</w:t>
    </w:r>
  </w:p>
  <w:p>
    <w:pPr>
      <w:pStyle w:val="Rodap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</w:p>
  <w:p>
    <w:pPr>
      <w:pStyle w:val="Rodap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</w:p>
  <w:p>
    <w:pPr>
      <w:pStyle w:val="Rodap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</w:t>
    </w:r>
    <w:r>
      <w:rPr>
        <w:rFonts w:cs="Arial"/>
        <w:sz w:val="20"/>
        <w:szCs w:val="20"/>
      </w:rPr>
      <w:t xml:space="preserve">://camaracangucu.com.br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</w:tcPr>
        <w:p>
          <w:pPr>
            <w:ind w:right="290"/>
            <w:jc w:val="center"/>
          </w:pPr>
          <w:r/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2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 noChangeArrowheads="1"/>
                            </pic:cNvPicPr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57.0pt;height:58.5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</w:p>
        <w:p>
          <w:pPr>
            <w:pStyle w:val="Cabealho"/>
            <w:jc w:val="center"/>
            <w:rPr>
              <w:rFonts w:ascii="Bell MT" w:hAnsi="Bell MT"/>
              <w:sz w:val="22"/>
            </w:rPr>
          </w:pPr>
        </w:p>
      </w:tc>
      <w:tc>
        <w:tcPr>
          <w:tcW w:w="0" w:type="auto"/>
          <w:vAlign w:val="center"/>
        </w:tcPr>
        <w:p>
          <w:pPr>
            <w:pStyle w:val="Cabealho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</w:p>
        <w:p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</w:p>
      </w:tc>
    </w:tr>
  </w:tbl>
  <w:p>
    <w:pPr>
      <w:pStyle w:val="Cabealho"/>
      <w:rPr>
        <w:rFonts w:ascii="Bell MT" w:hAnsi="Bell M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multiLevelType w:val="hybridMultilevel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multiLevelType w:val="hybridMultilevel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pt-BR" w:bidi="ar-SA" w:eastAsia="pt-B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off"/>
      <w:tabs>
        <w:tab w:val="num" w:pos="360"/>
      </w:tabs>
      <w:jc w:val="center"/>
      <w:outlineLvl w:val="0"/>
    </w:pPr>
    <w:rPr>
      <w:rFonts w:eastAsia="Times New Roman"/>
      <w:szCs w:val="24"/>
      <w:u w:val="single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3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styleId="Ttulo1Char" w:customStyle="1">
    <w:name w:val="Título 1 Char"/>
    <w:link w:val="Ttulo1"/>
    <w:rPr>
      <w:rFonts w:ascii="Arial" w:hAnsi="Arial" w:eastAsia="Times New Roman"/>
      <w:sz w:val="24"/>
      <w:szCs w:val="24"/>
      <w:u w:val="single"/>
      <w:lang w:eastAsia="ar-SA"/>
    </w:rPr>
  </w:style>
  <w:style w:type="paragraph" w:styleId="Corpodetexto">
    <w:name w:val="Body Text"/>
    <w:basedOn w:val="Normal"/>
    <w:link w:val="CorpodetextoChar"/>
    <w:semiHidden/>
    <w:unhideWhenUsed/>
    <w:rPr>
      <w:rFonts w:eastAsia="Times New Roman"/>
      <w:sz w:val="22"/>
      <w:szCs w:val="20"/>
      <w:lang w:eastAsia="ar-SA"/>
    </w:rPr>
  </w:style>
  <w:style w:type="character" w:styleId="CorpodetextoChar" w:customStyle="1">
    <w:name w:val="Corpo de texto Char"/>
    <w:link w:val="Corpodetexto"/>
    <w:semiHidden/>
    <w:rPr>
      <w:rFonts w:ascii="Arial" w:hAnsi="Arial" w:cs="Arial" w:eastAsia="Times New Roman"/>
      <w:sz w:val="22"/>
      <w:lang w:eastAsia="ar-SA"/>
    </w:rPr>
  </w:style>
  <w:style w:type="character" w:styleId="Ttulo2Char" w:customStyle="1">
    <w:name w:val="Título 2 Char"/>
    <w:link w:val="Ttulo2"/>
    <w:uiPriority w:val="9"/>
    <w:semiHidden/>
    <w:rPr>
      <w:rFonts w:ascii="Cambria" w:hAnsi="Cambria" w:cs="Times New Roman" w:eastAsia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next w:val="Normal"/>
    <w:link w:val="TtuloChar"/>
    <w:qFormat/>
    <w:pPr>
      <w:spacing w:before="240" w:after="60"/>
      <w:jc w:val="center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TtuloChar" w:customStyle="1">
    <w:name w:val="Título Char"/>
    <w:link w:val="Ttulo"/>
    <w:rPr>
      <w:rFonts w:ascii="Cambria" w:hAnsi="Cambria" w:eastAsia="Times New Roman"/>
      <w:b/>
      <w:bCs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styleId="RecuodecorpodetextoChar" w:customStyle="1">
    <w:name w:val="Recuo de corpo de texto Char"/>
    <w:link w:val="Recuodecorpodetexto"/>
    <w:uiPriority w:val="99"/>
    <w:semiHidden/>
    <w:rPr>
      <w:rFonts w:ascii="Arial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Standard" w:customStyle="1">
    <w:name w:val="Standard"/>
    <w:pPr>
      <w:widowControl w:val="off"/>
    </w:pPr>
    <w:rPr>
      <w:rFonts w:ascii="Times New Roman" w:hAnsi="Times New Roman" w:cs="Mangal" w:eastAsia="SimSun"/>
      <w:sz w:val="24"/>
      <w:szCs w:val="24"/>
      <w:lang w:bidi="hi-IN" w:eastAsia="zh-CN"/>
    </w:rPr>
  </w:style>
  <w:style w:type="character" w:styleId="Forte">
    <w:name w:val="Strong"/>
    <w:uiPriority w:val="22"/>
    <w:qFormat/>
    <w:rPr>
      <w:b/>
      <w:bCs/>
    </w:rPr>
  </w:style>
  <w:style w:type="character" w:styleId="Ttulo3Char" w:customStyle="1">
    <w:name w:val="Título 3 Char"/>
    <w:link w:val="Ttulo3"/>
    <w:uiPriority w:val="9"/>
    <w:semiHidden/>
    <w:rPr>
      <w:rFonts w:ascii="Cambria" w:hAnsi="Cambria" w:cs="Times New Roman" w:eastAsia="Times New Roman"/>
      <w:b/>
      <w:bCs/>
      <w:sz w:val="26"/>
      <w:szCs w:val="26"/>
      <w:lang w:eastAsia="en-US"/>
    </w:rPr>
  </w:style>
  <w:style w:type="character" w:styleId="StrongEmphasis" w:customStyle="1">
    <w:name w:val="Strong Emphasis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character" w:styleId="Corpodetexto2Char" w:customStyle="1">
    <w:name w:val="Corpo de texto 2 Char"/>
    <w:link w:val="Corpodetexto2"/>
    <w:uiPriority w:val="99"/>
    <w:semiHidden/>
    <w:rPr>
      <w:rFonts w:ascii="Arial" w:hAnsi="Arial"/>
      <w:sz w:val="24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uiPriority w:val="99"/>
    <w:rPr>
      <w:rFonts w:ascii="Arial" w:hAnsi="Arial"/>
      <w:sz w:val="24"/>
      <w:szCs w:val="22"/>
      <w:lang w:eastAsia="en-US"/>
    </w:rPr>
  </w:style>
  <w:style w:type="character" w:styleId="label" w:customStyle="1">
    <w:name w:val="label"/>
    <w:basedOn w:val="Fontepargpadro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lanalto.gov.br/ccivil_03/Constituicao/Emendas/Emc/emc19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21F1EB0D-6148-420E-AA44-51F6F1C0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haracters>5198</Characters>
  <CharactersWithSpaces>6148</CharactersWithSpaces>
  <Company>Hewlett-Packard Company</Company>
  <DocSecurity>0</DocSecurity>
  <HyperlinksChanged>false</HyperlinksChanged>
  <Lines>43</Lines>
  <LinksUpToDate>false</LinksUpToDate>
  <Pages>3</Pages>
  <Paragraphs>12</Paragraphs>
  <ScaleCrop>false</ScaleCrop>
  <SharedDoc>false</SharedDoc>
  <Template>Papel impressao 2</Template>
  <TotalTime>0</TotalTime>
  <Words>962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Krolow</cp:lastModifiedBy>
  <cp:revision>2</cp:revision>
  <cp:lastPrinted>2022-04-26T14:01:00Z</cp:lastPrinted>
  <dcterms:created xsi:type="dcterms:W3CDTF">2022-07-18T13:38:00Z</dcterms:created>
  <dcterms:modified xsi:type="dcterms:W3CDTF">2022-07-18T13:38:00Z</dcterms:modified>
</cp:coreProperties>
</file>