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Verdana" w:hAnsi="Verdana" w:cs="Arial"/>
          <w:sz w:val="20"/>
          <w:szCs w:val="20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  <w:outlineLvl w:val="0"/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16"/>
          <w:szCs w:val="16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/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114/2022 </w:t>
      </w:r>
      <w:r>
        <w:rPr>
          <w:rFonts w:ascii="Arial" w:hAnsi="Arial" w:cs="Arial"/>
          <w:b/>
          <w:sz w:val="22"/>
          <w:szCs w:val="22"/>
        </w:rPr>
        <w:t xml:space="preserve">- LDO,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7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16"/>
          <w:szCs w:val="16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Gabinete do Prefeito Municipal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0228</w:t>
      </w:r>
      <w:r>
        <w:rPr>
          <w:rFonts w:ascii="Arial" w:hAnsi="Arial" w:cs="Arial"/>
          <w:sz w:val="22"/>
          <w:szCs w:val="22"/>
        </w:rPr>
        <w:t xml:space="preserve"> – Gestão e </w:t>
      </w:r>
      <w:r>
        <w:rPr>
          <w:rFonts w:ascii="Arial" w:hAnsi="Arial" w:cs="Arial"/>
          <w:sz w:val="22"/>
          <w:szCs w:val="22"/>
        </w:rPr>
        <w:t xml:space="preserve">Manutenção dos Serviços </w:t>
      </w:r>
      <w:r/>
    </w:p>
    <w:p>
      <w:pPr>
        <w:pStyle w:val="887"/>
        <w:ind w:left="850" w:right="0" w:firstLine="0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- 2341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das Atividades do Gabinete do Prefeito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Serviços Pessoa Jurídica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25.000,00</w:t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0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de Educação, Esportes e Cultura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0250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Qualificar e criar política culturais do município</w:t>
      </w:r>
      <w:r/>
    </w:p>
    <w:p>
      <w:pPr>
        <w:pStyle w:val="887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OE – 0032</w:t>
      </w:r>
      <w:r>
        <w:rPr>
          <w:rFonts w:ascii="Arial" w:hAnsi="Arial" w:cs="Arial"/>
          <w:sz w:val="22"/>
          <w:szCs w:val="22"/>
        </w:rPr>
        <w:t xml:space="preserve"> – Apoio a entidades culturais</w:t>
      </w:r>
      <w:r/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25.000,00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Total do Programa: R$ 95.500,00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628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OE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0032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Apoio a entidades culturais</w:t>
            </w:r>
            <w:r>
              <w:rPr>
                <w:b/>
                <w:bCs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Promover e apoiar o Evento do Dia da Consciência Negra no município (FESTQUILOMBOLA), e contratar transporte para que todas as Comunidades Quilombolas passam participar do evento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25.000,00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95.500,00</w:t>
            </w:r>
            <w:r>
              <w:rPr>
                <w:b/>
                <w:bCs/>
              </w:rPr>
            </w:r>
            <w:r/>
          </w:p>
        </w:tc>
      </w:tr>
    </w:tbl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11 de novembro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5"/>
      <w:rPr>
        <w:b/>
        <w:bCs/>
      </w:rPr>
    </w:pPr>
    <w:r>
      <w:rPr>
        <w:b/>
        <w:bCs/>
      </w:rPr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13</cp:revision>
  <dcterms:created xsi:type="dcterms:W3CDTF">2017-11-08T12:14:00Z</dcterms:created>
  <dcterms:modified xsi:type="dcterms:W3CDTF">2022-11-13T13:50:04Z</dcterms:modified>
</cp:coreProperties>
</file>