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  <w:t xml:space="preserve">SOLICITO PEDIDO DE INFORMAÇÃO REFERENTE A CONCESSÃO DE GRATIFICAÇÃO ESPECIAL COVID.</w:t>
      </w:r>
      <w:r>
        <w:rPr>
          <w:sz w:val="20"/>
          <w:szCs w:val="20"/>
        </w:rPr>
      </w:r>
      <w:r/>
    </w:p>
    <w:p>
      <w:pPr>
        <w:pStyle w:val="826"/>
        <w:ind w:left="0" w:firstLine="0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1- </w:t>
      </w:r>
      <w:r>
        <w:rPr>
          <w:highlight w:val="none"/>
          <w:lang w:val="pt-BR"/>
        </w:rPr>
        <w:t xml:space="preserve">Se há estudos para a concessão de gratificação especial Covid para os demais profissionais que participaram efetivamente da luta contra a epidemia do COVID?</w:t>
      </w: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2- </w:t>
      </w:r>
      <w:r>
        <w:rPr>
          <w:highlight w:val="none"/>
          <w:lang w:val="pt-BR"/>
        </w:rPr>
        <w:t xml:space="preserve">Se há possibilidade de incluir os motoristas da saúde, tais como condutores de ambulância, e demais, dos veículos pequenos, que também participaram naquele período.</w:t>
      </w: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3- </w:t>
      </w:r>
      <w:r>
        <w:rPr>
          <w:highlight w:val="none"/>
          <w:lang w:val="pt-BR"/>
        </w:rPr>
        <w:t xml:space="preserve">Quantas e quais categorias receberam tal gratificação? Com o número de profissionais de cada categoria que fizeram jus.</w:t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28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setembro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18</cp:revision>
  <dcterms:created xsi:type="dcterms:W3CDTF">2022-04-20T12:53:00Z</dcterms:created>
  <dcterms:modified xsi:type="dcterms:W3CDTF">2023-08-28T11:21:38Z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