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6762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53.2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8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CÂMARA MUNICIPAL DE CANGUÇU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6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ESTADO DO RIO GRANDE DO SUL</w:t>
      </w:r>
      <w:r>
        <w:rPr>
          <w:rFonts w:ascii="Verdana" w:hAnsi="Verdana"/>
          <w:b/>
        </w:rPr>
      </w:r>
      <w:r>
        <w:rPr>
          <w:rFonts w:ascii="Verdana" w:hAnsi="Verdana"/>
          <w:b/>
        </w:rPr>
      </w:r>
    </w:p>
    <w:p>
      <w:pPr>
        <w:pStyle w:val="834"/>
        <w:rPr>
          <w:rFonts w:ascii="Verdana" w:hAnsi="Verdana"/>
          <w:b/>
          <w:bCs/>
          <w:color w:val="17365d"/>
          <w:sz w:val="20"/>
          <w:u w:val="single"/>
        </w:rPr>
      </w:pPr>
      <w:r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-</w:t>
      </w:r>
      <w:r>
        <w:rPr>
          <w:rFonts w:ascii="Verdana" w:hAnsi="Verdana"/>
          <w:b/>
          <w:bCs/>
          <w:color w:val="17365d"/>
          <w:sz w:val="20"/>
          <w:u w:val="single"/>
        </w:rPr>
        <w:t xml:space="preserve">PP</w:t>
      </w:r>
      <w:r>
        <w:rPr>
          <w:rFonts w:ascii="Verdana" w:hAnsi="Verdana"/>
          <w:b/>
          <w:bCs/>
          <w:color w:val="17365d"/>
          <w:sz w:val="20"/>
          <w:u w:val="single"/>
        </w:rPr>
      </w:r>
      <w:r>
        <w:rPr>
          <w:rFonts w:ascii="Verdana" w:hAnsi="Verdana"/>
          <w:b/>
          <w:bCs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>
        <w:rPr>
          <w:rFonts w:ascii="Verdana" w:hAnsi="Verdana"/>
          <w:b/>
          <w:color w:val="17365d"/>
          <w:sz w:val="20"/>
        </w:rPr>
        <w:t xml:space="preserve">            </w:t>
      </w:r>
      <w:r>
        <w:rPr>
          <w:rFonts w:ascii="Verdana" w:hAnsi="Verdana"/>
          <w:b/>
          <w:color w:val="17365d"/>
          <w:sz w:val="20"/>
          <w:u w:val="single"/>
        </w:rPr>
        <w:t xml:space="preserve">EMENDA MODIFICATIVA</w:t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  <w:r>
        <w:rPr>
          <w:rFonts w:ascii="Verdana" w:hAnsi="Verdana"/>
          <w:b/>
          <w:color w:val="17365d"/>
          <w:sz w:val="20"/>
          <w:u w:val="single"/>
        </w:rPr>
      </w:r>
    </w:p>
    <w:p>
      <w:pPr>
        <w:pStyle w:val="834"/>
        <w:tabs>
          <w:tab w:val="left" w:pos="9356" w:leader="none"/>
        </w:tabs>
        <w:jc w:val="both"/>
        <w:outlineLvl w:val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 xml:space="preserve">  </w:t>
      </w:r>
      <w:r>
        <w:rPr>
          <w:rFonts w:ascii="Verdana" w:hAnsi="Verdana"/>
          <w:sz w:val="20"/>
          <w:u w:val="single"/>
        </w:rPr>
      </w:r>
      <w:r>
        <w:rPr>
          <w:rFonts w:ascii="Verdana" w:hAnsi="Verdana"/>
          <w:sz w:val="20"/>
          <w:u w:val="single"/>
        </w:rPr>
      </w:r>
    </w:p>
    <w:p>
      <w:pPr>
        <w:pStyle w:val="834"/>
        <w:tabs>
          <w:tab w:val="left" w:pos="9356" w:leader="none"/>
        </w:tabs>
        <w:jc w:val="both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SENHOR PRESIDENTE,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jc w:val="both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SENHORES VEREADORES.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jc w:val="both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O VEREADOR </w:t>
      </w:r>
      <w:r>
        <w:rPr>
          <w:rFonts w:ascii="Verdana" w:hAnsi="Verdana"/>
          <w:sz w:val="20"/>
        </w:rPr>
        <w:t xml:space="preserve">infra-firmado</w:t>
      </w:r>
      <w:r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EXECUTIVA Nº 85/2023 QUE “</w:t>
      </w:r>
      <w:r>
        <w:rPr>
          <w:rFonts w:ascii="Verdana" w:hAnsi="Verdana"/>
          <w:b/>
          <w:sz w:val="20"/>
        </w:rPr>
        <w:t xml:space="preserve">DISPÕE SOBRE AS DIRETRIZES ORÇAMENTÁRIAS PARA O EXERCÍCIO DE 2024 E DÁ OUTRAS PROVIDÊNCIAS"</w:t>
      </w:r>
      <w:r>
        <w:rPr>
          <w:rFonts w:ascii="Verdana" w:hAnsi="Verdana"/>
          <w:b/>
          <w:sz w:val="20"/>
        </w:rPr>
        <w:t xml:space="preserve">- LDO, da seguinte forma: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sz w:val="20"/>
        </w:rPr>
        <w:t xml:space="preserve">Reduz</w:t>
      </w:r>
      <w:r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Secretaria Municipal de Obras Públicas, Trânsito e Serviços Urbanos.</w:t>
      </w:r>
      <w:r>
        <w:rPr>
          <w:rFonts w:ascii="Verdana" w:hAnsi="Verdana"/>
          <w:color w:val="ff0000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t xml:space="preserve">0233 – Canguçu Mais Limpa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</w:pPr>
      <w:r>
        <w:rPr>
          <w:rFonts w:ascii="Verdana" w:hAnsi="Verdana"/>
          <w:sz w:val="20"/>
        </w:rPr>
        <w:t xml:space="preserve">Tipo A – </w: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</w:rPr>
        <w:t xml:space="preserve">2365 – Manutenção dos serviços de limpeza pública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</w:pPr>
      <w:r>
        <w:rPr>
          <w:rFonts w:ascii="Verdana" w:hAnsi="Verdana"/>
          <w:sz w:val="20"/>
        </w:rPr>
        <w:t xml:space="preserve">Gastos com manutenção dos serviços de limpeza 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pública.
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color w:val="ff0000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Recurso: Livre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426" w:leader="none"/>
          <w:tab w:val="left" w:pos="9356" w:leader="none"/>
        </w:tabs>
        <w:ind w:firstLine="85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Pessoa Jurídica </w:t>
      </w:r>
      <w:r>
        <w:rPr>
          <w:rFonts w:ascii="Verdana" w:hAnsi="Verdana"/>
          <w:b/>
          <w:sz w:val="20"/>
        </w:rPr>
        <w:t xml:space="preserve">Valor a ser reduzido R$= </w:t>
      </w:r>
      <w:r>
        <w:rPr>
          <w:rFonts w:ascii="Verdana" w:hAnsi="Verdana"/>
          <w:b/>
          <w:sz w:val="20"/>
        </w:rPr>
        <w:t xml:space="preserve">40</w:t>
      </w:r>
      <w:r>
        <w:rPr>
          <w:rFonts w:ascii="Verdana" w:hAnsi="Verdana"/>
          <w:b/>
          <w:sz w:val="20"/>
        </w:rPr>
        <w:t xml:space="preserve">.000,00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0" w:leader="none"/>
          <w:tab w:val="left" w:pos="426" w:leader="none"/>
          <w:tab w:val="left" w:pos="9356" w:leader="none"/>
        </w:tabs>
        <w:ind w:firstLine="85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0" w:leader="none"/>
          <w:tab w:val="left" w:pos="851" w:leader="none"/>
          <w:tab w:val="left" w:pos="9356" w:leader="none"/>
        </w:tabs>
        <w:ind w:left="85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Suplementa</w:t>
      </w:r>
      <w:r>
        <w:rPr>
          <w:rFonts w:ascii="Verdana" w:hAnsi="Verdana"/>
          <w:sz w:val="20"/>
        </w:rPr>
        <w:t xml:space="preserve"> – Secretaria Municipal</w:t>
      </w:r>
      <w:r>
        <w:rPr>
          <w:rFonts w:ascii="Verdana" w:hAnsi="Verdana"/>
          <w:sz w:val="20"/>
        </w:rPr>
        <w:t xml:space="preserve"> de Desenvolvimento Econômico e Agrário.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ind w:left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Programa: </w:t>
      </w:r>
      <w:r>
        <w:t xml:space="preserve">0200 - Mais Água Mais Desenvolvimento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jc w:val="both"/>
        <w:rPr>
          <w:b/>
        </w:rPr>
      </w:pPr>
      <w:r>
        <w:rPr>
          <w:rFonts w:ascii="Verdana" w:hAnsi="Verdana"/>
          <w:sz w:val="20"/>
        </w:rPr>
        <w:t xml:space="preserve">Tipo: </w:t>
      </w:r>
      <w:r>
        <w:rPr>
          <w:rFonts w:ascii="Verdana" w:hAnsi="Verdana"/>
          <w:sz w:val="20"/>
        </w:rPr>
        <w:t xml:space="preserve">A</w:t>
      </w:r>
      <w:r>
        <w:rPr>
          <w:rFonts w:ascii="Verdana" w:hAnsi="Verdana"/>
          <w:sz w:val="20"/>
        </w:rPr>
        <w:t xml:space="preserve"> </w:t>
      </w:r>
      <w:r>
        <w:rPr>
          <w:b w:val="0"/>
          <w:bCs w:val="0"/>
        </w:rPr>
        <w:t xml:space="preserve"> </w:t>
      </w:r>
      <w:r>
        <w:t xml:space="preserve">2.300 - Manutenção do Programa Mais Água Mais  Desenvolvimento</w:t>
      </w:r>
      <w:r>
        <w:rPr>
          <w:b w:val="0"/>
          <w:bCs w:val="0"/>
        </w:rPr>
      </w:r>
      <w:r>
        <w:rPr>
          <w:b/>
        </w:rPr>
      </w:r>
    </w:p>
    <w:p>
      <w:pPr>
        <w:pStyle w:val="834"/>
        <w:tabs>
          <w:tab w:val="left" w:pos="0" w:leader="none"/>
          <w:tab w:val="left" w:pos="1134" w:leader="none"/>
          <w:tab w:val="left" w:pos="9356" w:leader="none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Valor R$= </w:t>
      </w:r>
      <w:r>
        <w:rPr>
          <w:rFonts w:ascii="Verdana" w:hAnsi="Verdana"/>
          <w:sz w:val="20"/>
        </w:rPr>
        <w:t xml:space="preserve">40</w:t>
      </w:r>
      <w:r>
        <w:rPr>
          <w:rFonts w:ascii="Verdana" w:hAnsi="Verdana"/>
          <w:sz w:val="20"/>
        </w:rPr>
        <w:t xml:space="preserve">.000,00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Total do Programa: R$= </w:t>
      </w:r>
      <w:r>
        <w:rPr>
          <w:rFonts w:ascii="Verdana" w:hAnsi="Verdana"/>
          <w:sz w:val="20"/>
        </w:rPr>
        <w:t xml:space="preserve">5.886.095,54</w:t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0" w:leader="none"/>
          <w:tab w:val="left" w:pos="9356" w:leader="none"/>
        </w:tabs>
        <w:ind w:firstLine="85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                      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tbl>
      <w:tblPr>
        <w:tblW w:w="77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091"/>
        <w:gridCol w:w="1217"/>
        <w:gridCol w:w="1841"/>
      </w:tblGrid>
      <w:tr>
        <w:trPr>
          <w:trHeight w:val="164"/>
        </w:trPr>
        <w:tc>
          <w:tcPr>
            <w:tcW w:w="612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Tipo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(*)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Ação/Produto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Recurso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84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Valores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990"/>
        </w:trPr>
        <w:tc>
          <w:tcPr>
            <w:tcW w:w="612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  <w:bCs/>
              </w:rPr>
              <w:t xml:space="preserve">2.300 - Manutenção do Programa Mais Água Mais  Desenvolvimento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</w:pP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Aquisição de 1 perfuratriz de poço artesiano, para atender a Comunidade Escolar Municipal Francisco Meireles.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217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Livre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  <w:tc>
          <w:tcPr>
            <w:tcW w:w="184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40</w:t>
            </w:r>
            <w:r>
              <w:rPr>
                <w:rFonts w:ascii="Verdana" w:hAnsi="Verdana"/>
                <w:sz w:val="20"/>
              </w:rPr>
              <w:t xml:space="preserve">.000,00</w: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30"/>
        </w:trPr>
        <w:tc>
          <w:tcPr>
            <w:tcW w:w="612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409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Total do Programa</w: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217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841" w:type="dxa"/>
            <w:noWrap w:val="false"/>
            <w:textDirection w:val="lrTb"/>
          </w:tcPr>
          <w:p>
            <w:pPr>
              <w:pStyle w:val="834"/>
              <w:tabs>
                <w:tab w:val="left" w:pos="9356" w:leader="none"/>
              </w:tabs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5.886.095,54</w:t>
            </w:r>
            <w:r>
              <w:rPr>
                <w:rFonts w:ascii="Verdana" w:hAnsi="Verdana"/>
                <w:b/>
                <w:sz w:val="20"/>
              </w:rPr>
            </w:r>
          </w:p>
        </w:tc>
      </w:tr>
    </w:tbl>
    <w:p>
      <w:pPr>
        <w:pStyle w:val="834"/>
        <w:tabs>
          <w:tab w:val="left" w:pos="9356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SALA DE SESSÕES JOAQUIM DE DEUS NUNES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CANGUÇU, </w:t>
      </w:r>
      <w:r>
        <w:rPr>
          <w:rFonts w:ascii="Verdana" w:hAnsi="Verdana"/>
          <w:sz w:val="20"/>
        </w:rPr>
        <w:t xml:space="preserve">16 de novembro de 2023.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Ubiratan Cardoso Rodrigues</w:t>
      </w:r>
      <w:r>
        <w:rPr>
          <w:rFonts w:ascii="Verdana" w:hAnsi="Verdana"/>
          <w:b/>
          <w:sz w:val="20"/>
        </w:rPr>
        <w:t xml:space="preserve">,</w:t>
      </w:r>
      <w:r>
        <w:rPr>
          <w:rFonts w:ascii="Verdana" w:hAnsi="Verdana"/>
          <w:b/>
          <w:sz w:val="20"/>
        </w:rPr>
      </w:r>
      <w:r>
        <w:rPr>
          <w:rFonts w:ascii="Verdana" w:hAnsi="Verdana"/>
          <w:b/>
          <w:sz w:val="20"/>
        </w:rPr>
      </w:r>
    </w:p>
    <w:p>
      <w:pPr>
        <w:pStyle w:val="834"/>
        <w:tabs>
          <w:tab w:val="left" w:pos="9356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Vereador Partido Progressista</w:t>
      </w:r>
      <w:r>
        <w:rPr>
          <w:rFonts w:ascii="Verdana" w:hAnsi="Verdana"/>
          <w:b/>
          <w:sz w:val="20"/>
        </w:rPr>
        <w:t xml:space="preserve">.</w: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</w:r>
    </w:p>
    <w:sectPr>
      <w:footnotePr/>
      <w:endnotePr/>
      <w:type w:val="nextPage"/>
      <w:pgSz w:w="11906" w:h="16838" w:orient="portrait"/>
      <w:pgMar w:top="0" w:right="1701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ind w:left="720"/>
      <w:contextualSpacing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8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2"/>
    <w:basedOn w:val="830"/>
    <w:link w:val="835"/>
    <w:pPr>
      <w:jc w:val="center"/>
    </w:pPr>
    <w:rPr>
      <w:szCs w:val="20"/>
    </w:rPr>
  </w:style>
  <w:style w:type="character" w:styleId="835" w:customStyle="1">
    <w:name w:val="Corpo de texto 2 Char"/>
    <w:basedOn w:val="831"/>
    <w:link w:val="834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36">
    <w:name w:val="Header"/>
    <w:basedOn w:val="830"/>
    <w:link w:val="837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7" w:customStyle="1">
    <w:name w:val="Cabeçalho Char"/>
    <w:basedOn w:val="831"/>
    <w:link w:val="83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38">
    <w:name w:val="Footer"/>
    <w:basedOn w:val="830"/>
    <w:link w:val="83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39" w:customStyle="1">
    <w:name w:val="Rodapé Char"/>
    <w:basedOn w:val="831"/>
    <w:link w:val="838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40">
    <w:name w:val="Balloon Text"/>
    <w:basedOn w:val="830"/>
    <w:link w:val="841"/>
    <w:uiPriority w:val="99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Texto de balão Char"/>
    <w:basedOn w:val="831"/>
    <w:link w:val="840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93965-1D50-4244-84AD-4244DEE1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</dc:creator>
  <cp:keywords/>
  <dc:description/>
  <cp:revision>4</cp:revision>
  <dcterms:created xsi:type="dcterms:W3CDTF">2022-11-03T17:41:00Z</dcterms:created>
  <dcterms:modified xsi:type="dcterms:W3CDTF">2023-11-16T12:44:18Z</dcterms:modified>
</cp:coreProperties>
</file>