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jc w:val="center"/>
        <w:spacing w:before="0" w:beforeAutospacing="0" w:after="0" w:afterAutospacing="0" w:line="360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PROJETO DE LEI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 COMPLEMENTAR</w:t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>
      <w:pPr>
        <w:pStyle w:val="917"/>
        <w:jc w:val="both"/>
        <w:spacing w:before="0" w:beforeAutospacing="0" w:after="0" w:afterAutospacing="0" w:line="360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>
      <w:pPr>
        <w:ind w:left="3118" w:right="0" w:firstLine="0"/>
        <w:jc w:val="both"/>
        <w:shd w:val="nil" w:color="auto"/>
        <w:rPr>
          <w:rFonts w:ascii="Calibri" w:hAnsi="Calibri" w:cs="Calibri"/>
          <w:b/>
          <w:bCs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"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INCLUI O INCISO IX E ALÍNEA “a”  NO ART. 77 DA LEI MUNICIPAL Nº 1.760/97, </w:t>
      </w:r>
      <w:r>
        <w:rPr>
          <w:rFonts w:ascii="Segoe UI" w:hAnsi="Segoe UI" w:eastAsia="Segoe UI" w:cs="Segoe UI"/>
          <w:b/>
          <w:bCs/>
          <w:color w:val="000000"/>
          <w:sz w:val="23"/>
          <w:highlight w:val="none"/>
        </w:rPr>
        <w:t xml:space="preserve">Seção IV</w:t>
      </w:r>
      <w:r>
        <w:rPr>
          <w:rFonts w:ascii="Segoe UI" w:hAnsi="Segoe UI" w:eastAsia="Segoe UI" w:cs="Segoe UI"/>
          <w:b/>
          <w:color w:val="000000"/>
          <w:sz w:val="23"/>
          <w:highlight w:val="none"/>
        </w:rPr>
        <w:t xml:space="preserve"> - 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QUE DISPÕE SOBRE O CÓDIGO DE OBRAS DO MUNICÍPIO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”.</w:t>
      </w:r>
      <w:r>
        <w:rPr>
          <w:rFonts w:ascii="Calibri" w:hAnsi="Calibri" w:cs="Calibri"/>
          <w:b/>
          <w:bCs/>
          <w:sz w:val="24"/>
          <w:szCs w:val="24"/>
          <w:highlight w:val="none"/>
          <w14:ligatures w14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  <w14:ligatures w14:val="none"/>
        </w:rPr>
      </w:r>
    </w:p>
    <w:p>
      <w:pPr>
        <w:pStyle w:val="917"/>
        <w:jc w:val="both"/>
        <w:spacing w:before="0" w:beforeAutospacing="0" w:after="0" w:afterAutospacing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>
      <w:pPr>
        <w:pStyle w:val="917"/>
        <w:ind w:firstLine="1418"/>
        <w:jc w:val="both"/>
        <w:spacing w:before="0" w:beforeAutospacing="0" w:after="0" w:afterAutospacing="0" w:line="360" w:lineRule="auto"/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Art. 1º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Inclui no Art. 77 d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a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white"/>
        </w:rPr>
        <w:t xml:space="preserve"> Lei Municipal Nº 1790/97 o inciso IX e alínea “a” , 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que Dispõe Sobre o código de obras do município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</w:rPr>
        <w:t xml:space="preserve">, a seguinte redação:</w:t>
      </w:r>
      <w:r/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p>
      <w:pPr>
        <w:pStyle w:val="917"/>
        <w:ind w:left="1417" w:right="0" w:firstLine="1"/>
        <w:jc w:val="both"/>
        <w:spacing w:line="240" w:lineRule="auto"/>
        <w:rPr>
          <w:rFonts w:ascii="Calibri" w:hAnsi="Calibri" w:cs="Calibri"/>
          <w:b w:val="0"/>
          <w:bCs w:val="0"/>
          <w:i w:val="0"/>
          <w:color w:val="000000" w:themeColor="text1"/>
          <w:sz w:val="22"/>
          <w:szCs w:val="22"/>
          <w:highlight w:val="none"/>
        </w:rPr>
      </w:pPr>
      <w:r>
        <w:rPr>
          <w:rFonts w:ascii="Calibri" w:hAnsi="Calibri" w:eastAsia="Calibri" w:cs="Calibri"/>
          <w:b/>
          <w:bCs/>
          <w:i w:val="0"/>
          <w:iCs w:val="0"/>
          <w:color w:val="000000" w:themeColor="text1"/>
          <w:sz w:val="22"/>
          <w:szCs w:val="22"/>
          <w:highlight w:val="none"/>
        </w:rPr>
      </w:r>
      <w:r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Art. 77 -</w:t>
      </w:r>
      <w:r>
        <w:rPr>
          <w:rFonts w:ascii="Calibri" w:hAnsi="Calibri" w:eastAsia="Calibri" w:cs="Calibri"/>
          <w:b/>
          <w:bCs/>
          <w:i w:val="0"/>
          <w:iCs w:val="0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highlight w:val="white"/>
        </w:rPr>
        <w:t xml:space="preserve">A edificação destinada a comércio geral, além das disposições da presente Lei que lhes forem aplicáveis, deverá:</w:t>
      </w:r>
      <w:r>
        <w:rPr>
          <w:rFonts w:ascii="Calibri" w:hAnsi="Calibri" w:cs="Calibri"/>
          <w:b w:val="0"/>
          <w:bCs w:val="0"/>
          <w:i w:val="0"/>
          <w:color w:val="000000" w:themeColor="text1"/>
          <w:sz w:val="22"/>
          <w:szCs w:val="22"/>
          <w:highlight w:val="none"/>
        </w:rPr>
      </w:r>
      <w:r>
        <w:rPr>
          <w:rFonts w:ascii="Calibri" w:hAnsi="Calibri" w:cs="Calibri"/>
          <w:b w:val="0"/>
          <w:bCs w:val="0"/>
          <w:i w:val="0"/>
          <w:color w:val="000000" w:themeColor="text1"/>
          <w:sz w:val="22"/>
          <w:szCs w:val="22"/>
          <w:highlight w:val="none"/>
        </w:rPr>
      </w:r>
    </w:p>
    <w:p>
      <w:pPr>
        <w:ind w:left="720" w:firstLine="0"/>
        <w:jc w:val="both"/>
        <w:rPr>
          <w:sz w:val="24"/>
          <w:szCs w:val="24"/>
          <w:highlight w:val="white"/>
        </w:rPr>
      </w:pPr>
      <w:r>
        <w:rPr>
          <w:rFonts w:ascii="Calibri" w:hAnsi="Calibri" w:cs="Calibri"/>
          <w:b/>
          <w:bCs/>
          <w:i w:val="0"/>
          <w:color w:val="000000" w:themeColor="text1"/>
          <w:sz w:val="22"/>
          <w:szCs w:val="22"/>
          <w:highlight w:val="none"/>
        </w:rPr>
        <w:t xml:space="preserve">IX- </w:t>
      </w:r>
      <w:r>
        <w:rPr>
          <w:rFonts w:ascii="Calibri" w:hAnsi="Calibri" w:eastAsia="Calibri" w:cs="Calibri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Ter</w:t>
      </w:r>
      <w:r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  <w:highlight w:val="white"/>
          <w:rtl w:val="0"/>
        </w:rPr>
        <w:t xml:space="preserve"> acessibilidade no pavimento térreo, em compartimentos destinados a atendimento ao público</w:t>
      </w:r>
      <w:r>
        <w:rPr>
          <w:sz w:val="24"/>
          <w:szCs w:val="24"/>
          <w:highlight w:val="white"/>
          <w:rtl w:val="0"/>
        </w:rPr>
        <w:t xml:space="preserve">.</w:t>
      </w:r>
      <w:r>
        <w:rPr>
          <w:sz w:val="24"/>
          <w:szCs w:val="24"/>
          <w:highlight w:val="white"/>
        </w:rPr>
      </w:r>
    </w:p>
    <w:p>
      <w:pPr>
        <w:ind w:left="720" w:firstLine="0"/>
        <w:jc w:val="both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</w:p>
    <w:p>
      <w:pPr>
        <w:ind w:left="720" w:firstLine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  <w:rtl w:val="0"/>
        </w:rPr>
        <w:t xml:space="preserve">a)</w:t>
      </w:r>
      <w:r>
        <w:rPr>
          <w:sz w:val="24"/>
          <w:szCs w:val="24"/>
          <w:highlight w:val="white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Fica facultado aos locais com acesso restrito, tais como depósitos, refeitórios, banheiros privativos, dependências que possam servir somente aos colaboradores e que não sirvam ao atendimento ao público.</w:t>
      </w:r>
      <w:r>
        <w:rPr>
          <w:rFonts w:ascii="Calibri" w:hAnsi="Calibri" w:eastAsia="Calibri" w:cs="Calibri"/>
          <w:sz w:val="24"/>
          <w:szCs w:val="24"/>
          <w:highlight w:val="white"/>
        </w:rPr>
      </w:r>
      <w:r>
        <w:rPr>
          <w:rFonts w:ascii="Calibri" w:hAnsi="Calibri" w:eastAsia="Calibri" w:cs="Calibri"/>
        </w:rPr>
      </w:r>
    </w:p>
    <w:p>
      <w:pPr>
        <w:pStyle w:val="917"/>
        <w:ind w:left="1417" w:right="0" w:firstLine="1"/>
        <w:jc w:val="both"/>
        <w:spacing w:line="240" w:lineRule="auto"/>
        <w:rPr>
          <w:rFonts w:ascii="Calibri" w:hAnsi="Calibri" w:cs="Calibri"/>
          <w:b w:val="0"/>
          <w:bCs w:val="0"/>
          <w:i w:val="0"/>
          <w:color w:val="000000" w:themeColor="text1"/>
          <w:sz w:val="22"/>
          <w:szCs w:val="22"/>
          <w:highlight w:val="none"/>
        </w:rPr>
      </w:pPr>
      <w:r>
        <w:rPr>
          <w:rFonts w:ascii="Calibri" w:hAnsi="Calibri" w:cs="Calibri"/>
          <w:b/>
          <w:bCs/>
          <w:i w:val="0"/>
          <w:color w:val="000000" w:themeColor="text1"/>
          <w:sz w:val="22"/>
          <w:szCs w:val="22"/>
          <w:highlight w:val="none"/>
        </w:rPr>
      </w:r>
      <w:r>
        <w:rPr>
          <w:rFonts w:ascii="Calibri" w:hAnsi="Calibri" w:cs="Calibri"/>
          <w:b w:val="0"/>
          <w:bCs w:val="0"/>
          <w:i w:val="0"/>
          <w:color w:val="000000" w:themeColor="text1"/>
          <w:sz w:val="22"/>
          <w:szCs w:val="22"/>
          <w:highlight w:val="none"/>
        </w:rPr>
      </w:r>
      <w:r/>
    </w:p>
    <w:p>
      <w:pPr>
        <w:pStyle w:val="917"/>
        <w:ind w:firstLine="708"/>
        <w:jc w:val="right"/>
        <w:spacing w:before="0" w:beforeAutospacing="0" w:after="0" w:afterAutospacing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Canguçu, 22 de novembro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de 2023.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>
      <w:pPr>
        <w:pStyle w:val="917"/>
        <w:ind w:firstLine="708"/>
        <w:jc w:val="both"/>
        <w:spacing w:before="0" w:beforeAutospacing="0" w:after="0" w:afterAutospacing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>
      <w:pPr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MARCELO ROMIG MARON</w:t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jc w:val="center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Vereador PRD</w:t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left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>
      <w:pPr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JUSTIFICATIVA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ind w:left="0" w:right="0" w:firstLine="1134"/>
        <w:jc w:val="both"/>
        <w:rPr>
          <w:rFonts w:ascii="Calibri" w:hAnsi="Calibri" w:cs="Calibri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C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onsiderando a construção de diversos prédios comerciais no município de Canguçu, o</w:t>
      </w:r>
      <w:r>
        <w:rPr>
          <w:rFonts w:ascii="Calibri" w:hAnsi="Calibri" w:eastAsia="Calibri" w:cs="Calibri"/>
          <w:sz w:val="24"/>
          <w:szCs w:val="24"/>
        </w:rPr>
        <w:t xml:space="preserve"> Projeto de Lei apresentado busca 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simplificar o procedimento de aceitação das obras, visando o interesse da população em continuar investindo no município e para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 a própria administração municipal. Como: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ind w:left="0" w:right="0" w:firstLine="113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eastAsia="Calibri" w:cs="Calibri"/>
          <w:b w:val="0"/>
          <w:bCs w:val="0"/>
          <w:sz w:val="16"/>
          <w:szCs w:val="16"/>
          <w:highlight w:val="none"/>
        </w:rPr>
      </w:r>
      <w:r>
        <w:rPr>
          <w:rFonts w:ascii="Calibri" w:hAnsi="Calibri" w:eastAsia="Calibri" w:cs="Calibri"/>
          <w:sz w:val="16"/>
          <w:szCs w:val="16"/>
        </w:rPr>
      </w:r>
      <w:r>
        <w:rPr>
          <w:rFonts w:ascii="Calibri" w:hAnsi="Calibri" w:eastAsia="Calibri" w:cs="Calibri"/>
          <w:sz w:val="16"/>
          <w:szCs w:val="16"/>
        </w:rPr>
      </w:r>
    </w:p>
    <w:p>
      <w:pPr>
        <w:ind w:left="0" w:right="0" w:firstLine="1134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S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implificação dos processos de aceitação dos projetos e emissão do HABITE-SE: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 A redação 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apresenta um processo de regularização simples e eficaz. Isso reduz a burocracia e acelera o processo permitindo que os proprietários regularizem as construções de maneira rápida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Calibri" w:hAnsi="Calibri" w:eastAsia="Calibri" w:cs="Calibri"/>
          <w:b w:val="0"/>
          <w:bCs w:val="0"/>
        </w:rPr>
      </w:r>
      <w:r>
        <w:rPr>
          <w:rFonts w:ascii="Calibri" w:hAnsi="Calibri" w:eastAsia="Calibri" w:cs="Calibri"/>
          <w:b w:val="0"/>
          <w:bCs w:val="0"/>
        </w:rPr>
      </w:r>
    </w:p>
    <w:p>
      <w:pPr>
        <w:ind w:left="0" w:right="0" w:firstLine="0"/>
        <w:jc w:val="both"/>
        <w:rPr>
          <w:rFonts w:ascii="Calibri" w:hAnsi="Calibri" w:cs="Calibri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ind w:left="0" w:right="0" w:firstLine="1134"/>
        <w:jc w:val="both"/>
        <w:rPr>
          <w:rFonts w:ascii="Calibri" w:hAnsi="Calibri" w:cs="Calibri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Redução de Conflitos Jurídicos: 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Processos de licenciamento complexos podem levar a conflitos jurídicos e atrasos nos projetos. Tal medida pode contribuir para reduzir esses conflitos, uma vez que oferece uma visão mais clara e integrada das obrigações e dos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 requisitos a serem cumpridos.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ind w:left="0" w:right="0" w:firstLine="1134"/>
        <w:jc w:val="both"/>
        <w:rPr>
          <w:rFonts w:ascii="Calibri" w:hAnsi="Calibri" w:cs="Calibri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ind w:left="0" w:right="0" w:firstLine="1134"/>
        <w:jc w:val="both"/>
        <w:rPr>
          <w:rFonts w:ascii="Calibri" w:hAnsi="Calibri" w:cs="Calibri"/>
          <w:b w:val="0"/>
          <w:bCs w:val="0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Em resumo, a nova redação acerca da flexibilização dos critérios de acessibilidade em locais de acesso restrito em prédios comerciais no município de Canguçu visa trazer diversos benefícios, desde a agilização dos processos até o estimulo na população em investir e realizar suas Construções e edificações fortalecendo o comércio local.</w:t>
      </w:r>
      <w:r>
        <w:rPr>
          <w:rFonts w:ascii="Calibri" w:hAnsi="Calibri" w:eastAsia="Calibri" w:cs="Calibri"/>
          <w:b w:val="0"/>
          <w:bCs w:val="0"/>
          <w:highlight w:val="none"/>
        </w:rPr>
      </w:r>
      <w:r>
        <w:rPr>
          <w:rFonts w:ascii="Calibri" w:hAnsi="Calibri" w:eastAsia="Calibri" w:cs="Calibri"/>
          <w:b w:val="0"/>
          <w:bCs w:val="0"/>
          <w:highlight w:val="none"/>
        </w:rPr>
      </w:r>
    </w:p>
    <w:p>
      <w:pPr>
        <w:ind w:left="0" w:right="0" w:firstLine="1134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eastAsia="Calibri" w:cs="Calibri"/>
          <w:b w:val="0"/>
          <w:bCs w:val="0"/>
        </w:rPr>
      </w:r>
      <w:r>
        <w:rPr>
          <w:rFonts w:ascii="Calibri" w:hAnsi="Calibri" w:eastAsia="Calibri" w:cs="Calibri"/>
          <w:b w:val="0"/>
          <w:bCs w:val="0"/>
        </w:rPr>
      </w:r>
      <w:r>
        <w:rPr>
          <w:rFonts w:ascii="Calibri" w:hAnsi="Calibri" w:eastAsia="Calibri" w:cs="Calibri"/>
          <w:b w:val="0"/>
          <w:bCs w:val="0"/>
        </w:rPr>
      </w:r>
    </w:p>
    <w:p>
      <w:pPr>
        <w:ind w:left="0" w:right="0" w:firstLine="1134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eastAsia="Calibri" w:cs="Calibri"/>
          <w:b w:val="0"/>
          <w:bCs w:val="0"/>
        </w:rPr>
      </w:r>
      <w:r>
        <w:rPr>
          <w:rFonts w:ascii="Calibri" w:hAnsi="Calibri" w:eastAsia="Calibri" w:cs="Calibri"/>
          <w:b w:val="0"/>
          <w:bCs w:val="0"/>
        </w:rPr>
      </w:r>
      <w:r>
        <w:rPr>
          <w:rFonts w:ascii="Calibri" w:hAnsi="Calibri" w:eastAsia="Calibri" w:cs="Calibri"/>
          <w:b w:val="0"/>
          <w:bCs w:val="0"/>
        </w:rPr>
      </w:r>
    </w:p>
    <w:p>
      <w:pPr>
        <w:ind w:left="0" w:right="0" w:firstLine="1134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eastAsia="Calibri" w:cs="Calibri"/>
          <w:b w:val="0"/>
          <w:bCs w:val="0"/>
        </w:rPr>
      </w:r>
      <w:r>
        <w:rPr>
          <w:rFonts w:ascii="Calibri" w:hAnsi="Calibri" w:eastAsia="Calibri" w:cs="Calibri"/>
          <w:b w:val="0"/>
          <w:bCs w:val="0"/>
        </w:rPr>
      </w:r>
      <w:r>
        <w:rPr>
          <w:rFonts w:ascii="Calibri" w:hAnsi="Calibri" w:eastAsia="Calibri" w:cs="Calibri"/>
          <w:b w:val="0"/>
          <w:bCs w:val="0"/>
        </w:rPr>
      </w:r>
    </w:p>
    <w:p>
      <w:pPr>
        <w:ind w:left="0" w:right="0" w:firstLine="0"/>
        <w:jc w:val="center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Sala de Sessões Joaquim de Deus Nunes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  <w:t xml:space="preserve">Canguçu/RS,</w:t>
      </w:r>
      <w:r>
        <w:rPr>
          <w:rFonts w:ascii="Calibri" w:hAnsi="Calibri" w:eastAsia="Calibri" w:cs="Calibri"/>
          <w:sz w:val="24"/>
          <w:szCs w:val="24"/>
        </w:rPr>
        <w:t xml:space="preserve"> 22 de novembro</w:t>
      </w:r>
      <w:r>
        <w:rPr>
          <w:rFonts w:ascii="Calibri" w:hAnsi="Calibri" w:eastAsia="Calibri" w:cs="Calibri"/>
          <w:spacing w:val="67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2023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</w:p>
    <w:p>
      <w:pPr>
        <w:ind w:left="0" w:right="0" w:firstLine="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</w:p>
    <w:p>
      <w:pPr>
        <w:ind w:left="0" w:right="0" w:firstLine="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</w:p>
    <w:p>
      <w:pPr>
        <w:ind w:left="0" w:right="0" w:firstLine="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</w:p>
    <w:p>
      <w:pPr>
        <w:ind w:left="0" w:right="0" w:firstLine="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</w:p>
    <w:p>
      <w:pPr>
        <w:ind w:left="0" w:right="0" w:firstLine="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</w:p>
    <w:p>
      <w:pPr>
        <w:ind w:left="1600" w:right="0" w:firstLine="0"/>
        <w:jc w:val="left"/>
        <w:spacing w:before="3"/>
        <w:rPr>
          <w:rFonts w:ascii="Calibri" w:hAnsi="Calibri" w:cs="Calibri"/>
          <w:b/>
          <w:bCs/>
          <w:sz w:val="20"/>
          <w:szCs w:val="20"/>
          <w:highlight w:val="none"/>
        </w:rPr>
      </w:pPr>
      <w:r>
        <w:rPr>
          <w:rFonts w:ascii="Calibri" w:hAnsi="Calibri" w:eastAsia="Calibri" w:cs="Calibri"/>
          <w:b/>
          <w:sz w:val="20"/>
          <w:lang w:val="pt-BR"/>
        </w:rPr>
        <w:t xml:space="preserve">                                 </w:t>
      </w:r>
      <w:r>
        <w:rPr>
          <w:rFonts w:ascii="Calibri" w:hAnsi="Calibri" w:eastAsia="Calibri" w:cs="Calibri"/>
          <w:b/>
          <w:sz w:val="24"/>
          <w:szCs w:val="24"/>
          <w:lang w:val="pt-BR"/>
        </w:rPr>
        <w:t xml:space="preserve">    MARCELO ROMIG MARON</w:t>
      </w:r>
      <w:r>
        <w:rPr>
          <w:rFonts w:ascii="Calibri" w:hAnsi="Calibri" w:eastAsia="Calibri" w:cs="Calibri"/>
          <w:b/>
          <w:bCs/>
          <w:sz w:val="20"/>
          <w:szCs w:val="20"/>
          <w:highlight w:val="none"/>
        </w:rPr>
      </w:r>
      <w:r>
        <w:rPr>
          <w:rFonts w:ascii="Calibri" w:hAnsi="Calibri" w:eastAsia="Calibri" w:cs="Calibri"/>
          <w:b/>
          <w:bCs/>
          <w:sz w:val="20"/>
          <w:szCs w:val="20"/>
          <w:highlight w:val="none"/>
        </w:rPr>
      </w:r>
    </w:p>
    <w:p>
      <w:pPr>
        <w:ind w:left="1531" w:right="0" w:firstLine="0"/>
        <w:jc w:val="left"/>
        <w:spacing w:before="0"/>
        <w:rPr>
          <w:rFonts w:ascii="Calibri" w:hAnsi="Calibri" w:cs="Calibri"/>
          <w:b/>
          <w:sz w:val="20"/>
        </w:rPr>
      </w:pPr>
      <w:r>
        <w:rPr>
          <w:rFonts w:ascii="Calibri" w:hAnsi="Calibri" w:eastAsia="Calibri" w:cs="Calibri"/>
          <w:sz w:val="24"/>
          <w:szCs w:val="24"/>
          <w:shd w:val="clear" w:color="auto" w:fill="fafafa"/>
        </w:rPr>
        <w:t xml:space="preserve">                                            </w:t>
      </w:r>
      <w:r>
        <w:rPr>
          <w:rFonts w:ascii="Calibri" w:hAnsi="Calibri" w:eastAsia="Calibri" w:cs="Calibri"/>
          <w:spacing w:val="-32"/>
          <w:sz w:val="24"/>
          <w:szCs w:val="24"/>
          <w:shd w:val="clear" w:color="auto" w:fill="fafafa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  <w:shd w:val="clear" w:color="auto" w:fill="fafafa"/>
        </w:rPr>
        <w:t xml:space="preserve">Vereador</w:t>
      </w:r>
      <w:r>
        <w:rPr>
          <w:rFonts w:ascii="Calibri" w:hAnsi="Calibri" w:eastAsia="Calibri" w:cs="Calibri"/>
          <w:b/>
          <w:spacing w:val="-5"/>
          <w:sz w:val="24"/>
          <w:szCs w:val="24"/>
          <w:shd w:val="clear" w:color="auto" w:fill="fafafa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  <w:shd w:val="clear" w:color="auto" w:fill="fafafa"/>
        </w:rPr>
        <w:t xml:space="preserve">–</w:t>
      </w:r>
      <w:r>
        <w:rPr>
          <w:rFonts w:ascii="Calibri" w:hAnsi="Calibri" w:eastAsia="Calibri" w:cs="Calibri"/>
          <w:b/>
          <w:spacing w:val="-3"/>
          <w:sz w:val="24"/>
          <w:szCs w:val="24"/>
          <w:shd w:val="clear" w:color="auto" w:fill="fafafa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  <w:shd w:val="clear" w:color="auto" w:fill="fafafa"/>
          <w:lang w:val="pt-BR"/>
        </w:rPr>
        <w:t xml:space="preserve">PRD</w:t>
      </w:r>
      <w:r>
        <w:rPr>
          <w:rFonts w:ascii="Calibri" w:hAnsi="Calibri" w:eastAsia="Calibri" w:cs="Calibri"/>
          <w:b/>
          <w:sz w:val="20"/>
        </w:rPr>
      </w:r>
      <w:r>
        <w:rPr>
          <w:rFonts w:ascii="Calibri" w:hAnsi="Calibri" w:eastAsia="Calibri" w:cs="Calibri"/>
          <w:b/>
          <w:sz w:val="20"/>
        </w:rPr>
      </w:r>
    </w:p>
    <w:p>
      <w:pPr>
        <w:ind w:left="0" w:righ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0" w:right="0" w:firstLine="1134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after="0"/>
        <w:rPr>
          <w:sz w:val="26"/>
        </w:rPr>
        <w:sectPr>
          <w:footnotePr/>
          <w:endnotePr/>
          <w:type w:val="continuous"/>
          <w:pgSz w:w="11910" w:h="16840" w:orient="portrait"/>
          <w:pgMar w:top="2560" w:right="1020" w:bottom="280" w:left="1020" w:header="709" w:footer="709" w:gutter="0"/>
          <w:pgNumType w:start="1"/>
          <w:cols w:num="1" w:sep="0" w:space="1701" w:equalWidth="1"/>
          <w:docGrid w:linePitch="360"/>
        </w:sect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ind w:left="0" w:right="0" w:firstLine="1134"/>
        <w:jc w:val="both"/>
        <w:spacing w:line="240" w:lineRule="auto"/>
        <w:rPr>
          <w:rFonts w:ascii="Calibri" w:hAnsi="Calibri" w:cs="Calibri"/>
          <w:b w:val="0"/>
          <w:bCs w:val="0"/>
          <w:color w:val="auto"/>
          <w:sz w:val="16"/>
          <w:szCs w:val="16"/>
          <w:highlight w:val="none"/>
        </w:rPr>
      </w:pPr>
      <w:r>
        <w:rPr>
          <w:rFonts w:ascii="Calibri" w:hAnsi="Calibri" w:eastAsia="Calibri" w:cs="Calibri"/>
          <w:b w:val="0"/>
          <w:bCs w:val="0"/>
          <w:color w:val="auto"/>
          <w:sz w:val="16"/>
          <w:szCs w:val="16"/>
          <w:highlight w:val="none"/>
        </w:rPr>
      </w:r>
      <w:r>
        <w:rPr>
          <w:rFonts w:ascii="Calibri" w:hAnsi="Calibri" w:cs="Calibri"/>
          <w:b w:val="0"/>
          <w:bCs w:val="0"/>
          <w:color w:val="auto"/>
          <w:sz w:val="16"/>
          <w:szCs w:val="16"/>
          <w:highlight w:val="none"/>
        </w:rPr>
      </w:r>
      <w:r>
        <w:rPr>
          <w:rFonts w:ascii="Calibri" w:hAnsi="Calibri" w:cs="Calibri"/>
          <w:b w:val="0"/>
          <w:bCs w:val="0"/>
          <w:color w:val="auto"/>
          <w:sz w:val="16"/>
          <w:szCs w:val="16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7" w:right="1701" w:bottom="1417" w:left="1701" w:header="720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Bell MT">
    <w:panose1 w:val="02020502050305020303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</w:pPr>
    <w:r>
      <w:rPr>
        <w:b/>
      </w:rPr>
      <w:t xml:space="preserve">“DOE SANGUE, DOE ÓRGÃOS, SALVE UMA VIDA!</w:t>
    </w:r>
    <w:r>
      <w:rPr>
        <w:b/>
      </w:rPr>
      <w:t xml:space="preserve"> 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676"/>
      <w:gridCol w:w="5568"/>
    </w:tblGrid>
    <w:tr>
      <w:trPr>
        <w:jc w:val="center"/>
      </w:trPr>
      <w:tc>
        <w:tcPr>
          <w:tcW w:w="0" w:type="auto"/>
          <w:vAlign w:val="center"/>
          <w:textDirection w:val="lrTb"/>
          <w:noWrap w:val="false"/>
        </w:tcPr>
        <w:p>
          <w:pPr>
            <w:ind w:right="290"/>
            <w:jc w:val="center"/>
          </w:pPr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45719587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899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0pt;height:58.50pt;mso-wrap-distance-left:0.00pt;mso-wrap-distance-top:0.00pt;mso-wrap-distance-right:0.00pt;mso-wrap-distance-bottom:0.00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762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W w:w="0" w:type="auto"/>
          <w:vAlign w:val="center"/>
          <w:textDirection w:val="lrTb"/>
          <w:noWrap w:val="false"/>
        </w:tcPr>
        <w:p>
          <w:pPr>
            <w:pStyle w:val="762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762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jc w:val="center"/>
    </w:pPr>
    <w:r/>
    <w:r/>
  </w:p>
  <w:p>
    <w:pPr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1"/>
    <w:next w:val="911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basedOn w:val="912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1"/>
    <w:next w:val="911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basedOn w:val="912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1"/>
    <w:next w:val="911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12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1"/>
    <w:next w:val="911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12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1"/>
    <w:next w:val="911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12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1"/>
    <w:next w:val="911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12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1"/>
    <w:next w:val="911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12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1"/>
    <w:next w:val="911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12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1"/>
    <w:next w:val="911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12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1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1"/>
    <w:next w:val="911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basedOn w:val="912"/>
    <w:link w:val="754"/>
    <w:uiPriority w:val="10"/>
    <w:rPr>
      <w:sz w:val="48"/>
      <w:szCs w:val="48"/>
    </w:rPr>
  </w:style>
  <w:style w:type="paragraph" w:styleId="756">
    <w:name w:val="Subtitle"/>
    <w:basedOn w:val="911"/>
    <w:next w:val="911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basedOn w:val="912"/>
    <w:link w:val="756"/>
    <w:uiPriority w:val="11"/>
    <w:rPr>
      <w:sz w:val="24"/>
      <w:szCs w:val="24"/>
    </w:rPr>
  </w:style>
  <w:style w:type="paragraph" w:styleId="758">
    <w:name w:val="Quote"/>
    <w:basedOn w:val="911"/>
    <w:next w:val="911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1"/>
    <w:next w:val="911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1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basedOn w:val="912"/>
    <w:link w:val="762"/>
    <w:uiPriority w:val="99"/>
  </w:style>
  <w:style w:type="character" w:styleId="764">
    <w:name w:val="Footer Char"/>
    <w:basedOn w:val="912"/>
    <w:link w:val="915"/>
    <w:uiPriority w:val="99"/>
  </w:style>
  <w:style w:type="paragraph" w:styleId="765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915"/>
    <w:uiPriority w:val="99"/>
  </w:style>
  <w:style w:type="table" w:styleId="767">
    <w:name w:val="Table Grid"/>
    <w:basedOn w:val="9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basedOn w:val="912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basedOn w:val="912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>
    <w:name w:val="Footer"/>
    <w:basedOn w:val="911"/>
    <w:link w:val="916"/>
    <w:semiHidden/>
    <w:pPr>
      <w:tabs>
        <w:tab w:val="center" w:pos="4320" w:leader="none"/>
        <w:tab w:val="right" w:pos="8640" w:leader="none"/>
      </w:tabs>
    </w:pPr>
  </w:style>
  <w:style w:type="character" w:styleId="916" w:customStyle="1">
    <w:name w:val="Rodapé Char"/>
    <w:basedOn w:val="912"/>
    <w:link w:val="915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7">
    <w:name w:val="Normal (Web)"/>
    <w:basedOn w:val="91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8">
    <w:name w:val="Balloon Text"/>
    <w:basedOn w:val="911"/>
    <w:link w:val="919"/>
    <w:uiPriority w:val="99"/>
    <w:semiHidden/>
    <w:unhideWhenUsed/>
    <w:rPr>
      <w:rFonts w:ascii="Tahoma" w:hAnsi="Tahoma" w:cs="Tahoma"/>
      <w:sz w:val="16"/>
      <w:szCs w:val="16"/>
    </w:rPr>
  </w:style>
  <w:style w:type="character" w:styleId="919" w:customStyle="1">
    <w:name w:val="Texto de balão Char"/>
    <w:basedOn w:val="912"/>
    <w:link w:val="918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20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revision>16</cp:revision>
  <dcterms:created xsi:type="dcterms:W3CDTF">2023-03-15T13:33:00Z</dcterms:created>
  <dcterms:modified xsi:type="dcterms:W3CDTF">2023-11-22T16:25:13Z</dcterms:modified>
</cp:coreProperties>
</file>