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98" w:line="240" w:lineRule="auto"/>
        <w:rPr>
          <w:rFonts w:cstheme="minorHAnsi"/>
          <w:b/>
          <w:sz w:val="24"/>
          <w:szCs w:val="24"/>
        </w:rPr>
      </w:pPr>
    </w:p>
    <w:p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MENSAGEM LEGISLATIVA – </w:t>
      </w:r>
      <w:r>
        <w:rPr>
          <w:rFonts w:cstheme="minorHAnsi"/>
          <w:b/>
          <w:sz w:val="24"/>
          <w:szCs w:val="24"/>
        </w:rPr>
        <w:t xml:space="preserve">PROJETO</w:t>
      </w:r>
      <w:r>
        <w:rPr>
          <w:rFonts w:cstheme="minorHAnsi"/>
          <w:b/>
          <w:sz w:val="24"/>
          <w:szCs w:val="24"/>
        </w:rPr>
        <w:t xml:space="preserve"> DE LEI COMPLEMENTAR Nº ___/2023</w:t>
      </w:r>
    </w:p>
    <w:p>
      <w:pPr>
        <w:jc w:val="both"/>
        <w:rPr>
          <w:rFonts w:cstheme="minorHAnsi"/>
          <w:sz w:val="24"/>
          <w:szCs w:val="24"/>
        </w:rPr>
      </w:pPr>
    </w:p>
    <w:p>
      <w:pPr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Prezados Vereadores e Prezada Vereadora,</w:t>
      </w:r>
    </w:p>
    <w:p>
      <w:pPr>
        <w:spacing w:after="0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Mesa Diretora da Câmara de Vereadores, no uso das atribuições que lhe são conferidas pelo art. 16, II, do Regimento Interno desta Casa, vem, respeitosamente, apresentar este Projeto de Lei, o qual tem por objetivo dar nova redação ao art. 4º, inciso III, da lei nº 3.825/2013, que dispõe sobre o plano de cargos e salários da Câmara de Vereadores, alterando o Padrão Remuneratório do Cargo de Auxiliar Legislativo II e do Cargo de Oficial de Recursos Humanos, bem como a carga horária do cargo de Motorista Legislativo.</w:t>
      </w:r>
    </w:p>
    <w:p>
      <w:pPr>
        <w:spacing w:after="0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Esta proposição faz-se necessária para compatibilizar o padrão remuneratório dos cargos de Auxiliar Legislativo II e Oficial de Recursos Humanos com as atribuições a eles conferidas legalmente e que são de vital importância para a condução dos trabalhos dentro do Poder Legislativo, tanto em sua função típica quanto atípica.</w:t>
      </w:r>
    </w:p>
    <w:p>
      <w:pPr>
        <w:spacing w:after="0"/>
        <w:ind w:firstLine="851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Nesse sentido, é importante destacar que a Constituição Federal, em seu art. 39, §1º, determina que a fixação dos vencimentos dos servidores efetivos observará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 natureza, o grau de responsabilidade e a complexidade dos cargos componentes de cada carreira, os requisitos para a investidura e as peculiaridades dos cargos. Também dispõe o art. 78, 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caput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da Lei Orgânica Municipal, que “os planos de cargos e carreiras do servidor público municipal serão elaborados de forma a assegurar aos servidores municipais remuneração compatível com o mercado de trabalho para a função respectiva [...]”.</w:t>
      </w:r>
    </w:p>
    <w:p>
      <w:pPr>
        <w:spacing w:after="0"/>
        <w:ind w:firstLine="851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Por outro lado, é essencial a readequação da carga horária do cargo de Motorista Legislativo, que passará de 33h para 44h. Isso se justifica diante da importância da disponibilidade do profissional para a realização de viagens e condução dos vereadores e assessores aos seus compromissos integrantes das atividades legislativas por eles desenvolvidas.</w:t>
      </w:r>
    </w:p>
    <w:p>
      <w:pPr>
        <w:spacing w:after="0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Diante do exposto, requer a aquiescência dos nobres pares desta Casa para que, após sua tramitação regular, o projeto de lei complementar encaminhado por esta Mensagem seja devidamente aprovado.</w:t>
      </w:r>
    </w:p>
    <w:p>
      <w:pPr>
        <w:spacing w:after="0"/>
        <w:jc w:val="both"/>
        <w:rPr>
          <w:rFonts w:cstheme="minorHAnsi"/>
          <w:sz w:val="24"/>
          <w:szCs w:val="24"/>
        </w:rPr>
      </w:pPr>
    </w:p>
    <w:p>
      <w:pPr>
        <w:spacing w:after="0"/>
        <w:jc w:val="both"/>
        <w:rPr>
          <w:rFonts w:cstheme="minorHAnsi"/>
          <w:sz w:val="24"/>
          <w:szCs w:val="24"/>
        </w:rPr>
      </w:pPr>
    </w:p>
    <w:p>
      <w:pPr>
        <w:spacing w:after="0"/>
        <w:jc w:val="both"/>
        <w:rPr>
          <w:rFonts w:cstheme="minorHAnsi"/>
          <w:sz w:val="24"/>
          <w:szCs w:val="24"/>
        </w:rPr>
      </w:pPr>
    </w:p>
    <w:p>
      <w:pPr>
        <w:spacing w:after="0"/>
        <w:jc w:val="both"/>
        <w:rPr>
          <w:rFonts w:cstheme="minorHAnsi"/>
          <w:sz w:val="24"/>
          <w:szCs w:val="24"/>
        </w:rPr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  <w:r>
        <w:t xml:space="preserve">LUCIANO ZANETTI BERTINETTI</w:t>
      </w:r>
    </w:p>
    <w:p>
      <w:pPr>
        <w:spacing w:after="0"/>
        <w:jc w:val="center"/>
      </w:pPr>
      <w:r>
        <w:t xml:space="preserve">Presidente</w:t>
      </w:r>
    </w:p>
    <w:p>
      <w:pPr>
        <w:spacing w:after="0"/>
        <w:jc w:val="both"/>
      </w:pPr>
    </w:p>
    <w:p>
      <w:pPr>
        <w:spacing w:after="0"/>
        <w:jc w:val="both"/>
      </w:pPr>
    </w:p>
    <w:p>
      <w:pPr>
        <w:spacing w:after="0"/>
        <w:jc w:val="both"/>
      </w:pPr>
      <w:r>
        <w:t xml:space="preserve">EMERSON HENZEL MACHADO</w:t>
      </w:r>
      <w:r>
        <w:tab/>
      </w:r>
      <w:r>
        <w:tab/>
      </w:r>
      <w:r>
        <w:tab/>
      </w:r>
      <w:r>
        <w:tab/>
      </w:r>
      <w:r>
        <w:tab/>
        <w:t xml:space="preserve">MARCELO ROMIG MARON</w:t>
      </w:r>
    </w:p>
    <w:p>
      <w:r>
        <w:t xml:space="preserve">    Primeiro Vice-Presidente</w:t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  <w:r>
        <w:t xml:space="preserve">Segundo Vice-Presidente</w:t>
      </w:r>
    </w:p>
    <w:p/>
    <w:p/>
    <w:p>
      <w:pPr>
        <w:spacing w:after="0"/>
      </w:pPr>
      <w:r>
        <w:t xml:space="preserve">DIEGO ROMÃO HELVIG WOLTER</w:t>
      </w:r>
      <w:r>
        <w:tab/>
      </w:r>
      <w:r>
        <w:tab/>
      </w:r>
      <w:r>
        <w:tab/>
      </w:r>
      <w:r>
        <w:tab/>
        <w:t xml:space="preserve">SILVIO VENZKE NEUTZLING</w:t>
      </w:r>
    </w:p>
    <w:p>
      <w:pPr>
        <w:spacing w:after="0"/>
      </w:pPr>
      <w:r>
        <w:t xml:space="preserve">       Primeiro-Secretário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Segundo-Secretário</w:t>
      </w:r>
    </w:p>
    <w:p/>
    <w:p>
      <w:pPr>
        <w:spacing w:after="0"/>
        <w:ind w:firstLine="851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>
      <w:pPr>
        <w:spacing w:after="0"/>
        <w:ind w:firstLine="851"/>
        <w:jc w:val="both"/>
        <w:rPr>
          <w:rFonts w:cstheme="minorHAnsi"/>
          <w:sz w:val="24"/>
          <w:szCs w:val="24"/>
        </w:rPr>
      </w:pPr>
    </w:p>
    <w:p>
      <w:pPr>
        <w:spacing w:after="0"/>
        <w:ind w:firstLine="851"/>
        <w:jc w:val="both"/>
        <w:rPr>
          <w:rFonts w:cstheme="minorHAnsi"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sz w:val="24"/>
          <w:szCs w:val="24"/>
        </w:rPr>
      </w:pPr>
    </w:p>
    <w:p>
      <w:pPr>
        <w:spacing w:after="198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PROJETO DE LEI</w:t>
      </w:r>
    </w:p>
    <w:p>
      <w:pPr>
        <w:spacing w:after="397" w:line="240" w:lineRule="auto"/>
        <w:ind w:left="3686" w:hang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ALTERA A LEI MUNICIPAL N° 3.825 DE 11 DE JANEIRO DE 2013 QUE “DÁ NOVA REDAÇÃO A DISPOSITIVOS DA LEI Nº 2.603/2005, COMPILA, CONSOLIDA E REVOGA LEGISLAÇÃO E DÁ OUTRAS PROVIDÊNCIAS”.</w:t>
      </w:r>
    </w:p>
    <w:p>
      <w:pPr>
        <w:spacing w:after="198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MARCUS VINICIUS MULLER PEGORARO, </w:t>
      </w:r>
      <w:r>
        <w:rPr>
          <w:rFonts w:cstheme="minorHAnsi"/>
          <w:sz w:val="24"/>
          <w:szCs w:val="24"/>
        </w:rPr>
        <w:t xml:space="preserve">Prefeito Municipal de Canguçu, Estado do Rio Grande do Sul, no uso das atribuições que lhe são conferidas pela Lei Orgânica do Município;</w:t>
      </w:r>
    </w:p>
    <w:p>
      <w:pPr>
        <w:spacing w:after="198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FAÇO SABER</w:t>
      </w:r>
      <w:r>
        <w:rPr>
          <w:rFonts w:cstheme="minorHAnsi"/>
          <w:sz w:val="24"/>
          <w:szCs w:val="24"/>
        </w:rPr>
        <w:t xml:space="preserve">, que a Câmara Municipal de Vereadores aprovou e eu sanciono a seguinte Lei:</w:t>
      </w:r>
    </w:p>
    <w:p>
      <w:pPr>
        <w:spacing w:after="198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1º. </w:t>
      </w:r>
      <w:r>
        <w:rPr>
          <w:rFonts w:cstheme="minorHAnsi"/>
          <w:sz w:val="24"/>
          <w:szCs w:val="24"/>
        </w:rPr>
        <w:t xml:space="preserve">Ficam</w:t>
      </w:r>
      <w:r>
        <w:rPr>
          <w:rFonts w:cstheme="minorHAnsi"/>
          <w:sz w:val="24"/>
          <w:szCs w:val="24"/>
        </w:rPr>
        <w:t xml:space="preserve"> alterados o Padr</w:t>
      </w:r>
      <w:r>
        <w:rPr>
          <w:rFonts w:cstheme="minorHAnsi"/>
          <w:sz w:val="24"/>
          <w:szCs w:val="24"/>
        </w:rPr>
        <w:t xml:space="preserve">ão de Vencimento do Cargo de Auxiliar Legislativo II e do cargo de Oficial de Recursos Humanos, constantes no Art. 4º, Inc. III, da Lei Municipal nº 3.825 de 11 de Janeiro de 2013, que passam a vigorar com a seguinte redação:</w:t>
      </w:r>
    </w:p>
    <w:p>
      <w:pPr>
        <w:spacing w:after="85" w:line="240" w:lineRule="auto"/>
        <w:ind w:firstLine="1418"/>
        <w:rPr>
          <w:rFonts w:cstheme="minorHAnsi"/>
          <w:bCs/>
          <w:i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“Art. </w:t>
      </w:r>
      <w:r>
        <w:rPr>
          <w:rFonts w:cstheme="minorHAnsi"/>
          <w:i/>
          <w:iCs/>
          <w:sz w:val="24"/>
          <w:szCs w:val="24"/>
        </w:rPr>
        <w:t xml:space="preserve">4º ...</w:t>
      </w:r>
      <w:r>
        <w:rPr>
          <w:rFonts w:cstheme="minorHAnsi"/>
          <w:i/>
          <w:iCs/>
          <w:sz w:val="24"/>
          <w:szCs w:val="24"/>
        </w:rPr>
        <w:t xml:space="preserve">..................</w:t>
      </w:r>
      <w:r>
        <w:rPr>
          <w:rFonts w:cstheme="minorHAnsi"/>
          <w:i/>
          <w:iCs/>
          <w:sz w:val="24"/>
          <w:szCs w:val="24"/>
        </w:rPr>
        <w:t xml:space="preserve">..................................................................................</w:t>
      </w:r>
    </w:p>
    <w:p>
      <w:pPr>
        <w:spacing w:after="85" w:line="240" w:lineRule="auto"/>
        <w:ind w:firstLine="1418"/>
        <w:jc w:val="both"/>
        <w:rPr>
          <w:rFonts w:cstheme="minorHAnsi"/>
          <w:bCs/>
          <w:i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III – GRUPO DE APOIO ADMINISTRATIVO E TÉCNICO – GAAT</w:t>
      </w:r>
    </w:p>
    <w:tbl>
      <w:tblPr>
        <w:tblStyle w:val="Tabelacomgrade"/>
        <w:tblW w:w="0" w:type="auto"/>
        <w:tblInd w:w="1524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2551"/>
      </w:tblGrid>
      <w:tr>
        <w:tc>
          <w:tcPr>
            <w:tcW w:w="1560" w:type="dxa"/>
          </w:tcPr>
          <w:p>
            <w:pPr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Nº de cargos</w:t>
            </w:r>
          </w:p>
        </w:tc>
        <w:tc>
          <w:tcPr>
            <w:tcW w:w="2977" w:type="dxa"/>
          </w:tcPr>
          <w:p>
            <w:pPr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Categorias Funcionais</w:t>
            </w:r>
          </w:p>
        </w:tc>
        <w:tc>
          <w:tcPr>
            <w:tcW w:w="2551" w:type="dxa"/>
          </w:tcPr>
          <w:p>
            <w:pPr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Código</w:t>
            </w:r>
          </w:p>
        </w:tc>
      </w:tr>
      <w:tr>
        <w:tc>
          <w:tcPr>
            <w:tcW w:w="1560" w:type="dxa"/>
          </w:tcPr>
          <w:p>
            <w:pPr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02</w:t>
            </w:r>
          </w:p>
        </w:tc>
        <w:tc>
          <w:tcPr>
            <w:tcW w:w="2977" w:type="dxa"/>
          </w:tcPr>
          <w:p>
            <w:pPr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Auxiliar Legislativo II</w:t>
            </w:r>
          </w:p>
        </w:tc>
        <w:tc>
          <w:tcPr>
            <w:tcW w:w="2551" w:type="dxa"/>
          </w:tcPr>
          <w:p>
            <w:pPr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GAAT-02-A-B-C-D-04</w:t>
            </w:r>
          </w:p>
        </w:tc>
      </w:tr>
      <w:tr>
        <w:trPr>
          <w:trHeight w:val="293"/>
        </w:trPr>
        <w:tc>
          <w:tcPr>
            <w:tcW w:w="1560" w:type="dxa"/>
            <w:vMerge w:val="restart"/>
          </w:tcPr>
          <w:p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01</w:t>
            </w:r>
          </w:p>
        </w:tc>
        <w:tc>
          <w:tcPr>
            <w:tcW w:w="2977" w:type="dxa"/>
            <w:vMerge w:val="restart"/>
          </w:tcPr>
          <w:p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Oficial de Recursos Humanos</w:t>
            </w:r>
          </w:p>
        </w:tc>
        <w:tc>
          <w:tcPr>
            <w:tcW w:w="2551" w:type="dxa"/>
            <w:vMerge w:val="restart"/>
          </w:tcPr>
          <w:p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GAAT-03-A-B-C-D-04</w:t>
            </w:r>
          </w:p>
        </w:tc>
      </w:tr>
    </w:tbl>
    <w:p>
      <w:pPr>
        <w:spacing w:after="198" w:line="240" w:lineRule="auto"/>
        <w:ind w:firstLine="1418"/>
        <w:jc w:val="both"/>
        <w:rPr>
          <w:rFonts w:cstheme="minorHAnsi"/>
          <w:bCs/>
          <w:i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............................................................................................................</w:t>
      </w:r>
      <w:r>
        <w:rPr>
          <w:rFonts w:cstheme="minorHAnsi"/>
          <w:i/>
          <w:iCs/>
          <w:sz w:val="24"/>
          <w:szCs w:val="24"/>
        </w:rPr>
        <w:t xml:space="preserve">”(NR)</w:t>
      </w:r>
    </w:p>
    <w:p>
      <w:pPr>
        <w:spacing w:line="240" w:lineRule="auto"/>
        <w:ind w:firstLine="1418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 xml:space="preserve">Art. 2º. </w:t>
      </w:r>
      <w:r>
        <w:rPr>
          <w:rFonts w:cstheme="minorHAnsi"/>
          <w:sz w:val="24"/>
          <w:szCs w:val="24"/>
        </w:rPr>
        <w:t xml:space="preserve">Fica alterado o Anexo I da Lei 3.825/2013, no que se refere ao Padrão de Vencimento dos cargos de Auxiliar Legis</w:t>
      </w:r>
      <w:r>
        <w:rPr>
          <w:rFonts w:cstheme="minorHAnsi"/>
          <w:sz w:val="24"/>
          <w:szCs w:val="24"/>
        </w:rPr>
        <w:t xml:space="preserve">lativo II e Oficial de Recursos Humanos e Carga Horária do cargo de Motorista Legislativo</w:t>
      </w:r>
      <w:r>
        <w:rPr>
          <w:rFonts w:cstheme="minorHAnsi"/>
          <w:sz w:val="24"/>
          <w:szCs w:val="24"/>
        </w:rPr>
        <w:t xml:space="preserve"> – com proporcional acréscimo remuneratório</w:t>
      </w:r>
      <w:r>
        <w:rPr>
          <w:rFonts w:cstheme="minorHAnsi"/>
          <w:sz w:val="24"/>
          <w:szCs w:val="24"/>
        </w:rPr>
        <w:t xml:space="preserve">, que passa a vigorar com a seguinte redação:</w:t>
      </w:r>
    </w:p>
    <w:p>
      <w:pPr>
        <w:spacing w:after="0" w:line="240" w:lineRule="auto"/>
        <w:ind w:firstLine="1418"/>
        <w:jc w:val="center"/>
        <w:rPr>
          <w:rFonts w:cstheme="minorHAnsi"/>
          <w:bCs/>
          <w:i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“ANEXO I</w:t>
      </w:r>
    </w:p>
    <w:p>
      <w:pPr>
        <w:spacing w:after="0" w:line="240" w:lineRule="auto"/>
        <w:ind w:firstLine="1418"/>
        <w:jc w:val="both"/>
      </w:pPr>
      <w:r>
        <w:rPr>
          <w:rFonts w:cstheme="minorHAnsi"/>
          <w:i/>
          <w:iCs/>
          <w:sz w:val="24"/>
          <w:szCs w:val="24"/>
        </w:rPr>
        <w:t xml:space="preserve">............................................................................................................</w:t>
      </w:r>
      <w:r>
        <w:rPr>
          <w:rFonts w:cstheme="minorHAnsi"/>
          <w:i/>
          <w:iCs/>
          <w:sz w:val="24"/>
          <w:szCs w:val="24"/>
        </w:rPr>
        <w:t xml:space="preserve">........</w:t>
      </w:r>
    </w:p>
    <w:p>
      <w:pPr>
        <w:spacing w:after="0" w:line="240" w:lineRule="auto"/>
        <w:ind w:firstLine="1418"/>
        <w:jc w:val="both"/>
      </w:pPr>
      <w:r>
        <w:rPr>
          <w:rFonts w:cstheme="minorHAnsi"/>
          <w:i/>
          <w:iCs/>
          <w:sz w:val="24"/>
          <w:szCs w:val="24"/>
        </w:rPr>
        <w:t xml:space="preserve">Cargo: MOTORISTA LEGISLATIVO</w:t>
      </w:r>
    </w:p>
    <w:p>
      <w:pPr>
        <w:spacing w:after="0" w:line="240" w:lineRule="auto"/>
        <w:ind w:firstLine="1418"/>
        <w:jc w:val="both"/>
      </w:pPr>
      <w:r>
        <w:rPr>
          <w:rFonts w:cstheme="minorHAnsi"/>
          <w:i/>
          <w:iCs/>
          <w:sz w:val="24"/>
          <w:szCs w:val="24"/>
        </w:rPr>
        <w:t xml:space="preserve">....................................................................................................................</w:t>
      </w:r>
    </w:p>
    <w:p>
      <w:pPr>
        <w:spacing w:after="0" w:line="240" w:lineRule="auto"/>
        <w:ind w:firstLine="1418"/>
        <w:jc w:val="both"/>
      </w:pPr>
      <w:r>
        <w:rPr>
          <w:rFonts w:cstheme="minorHAnsi"/>
          <w:i/>
          <w:iCs/>
          <w:sz w:val="24"/>
          <w:szCs w:val="24"/>
        </w:rPr>
        <w:t xml:space="preserve">Condições de Trabalho:</w:t>
      </w:r>
    </w:p>
    <w:p>
      <w:pPr>
        <w:spacing w:after="0" w:line="240" w:lineRule="auto"/>
        <w:ind w:firstLine="1418"/>
        <w:jc w:val="both"/>
      </w:pPr>
      <w:r>
        <w:rPr>
          <w:rFonts w:cstheme="minorHAnsi"/>
          <w:i/>
          <w:iCs/>
          <w:sz w:val="24"/>
          <w:szCs w:val="24"/>
        </w:rPr>
        <w:t xml:space="preserve">Horário: quarenta e quatro horas semanais.</w:t>
      </w:r>
    </w:p>
    <w:p>
      <w:pPr>
        <w:spacing w:after="0" w:line="240" w:lineRule="auto"/>
        <w:ind w:firstLine="1418"/>
        <w:jc w:val="both"/>
        <w:rPr>
          <w:rFonts w:cstheme="minorHAnsi"/>
          <w:bCs/>
        </w:rPr>
      </w:pPr>
      <w:r>
        <w:rPr>
          <w:rFonts w:cstheme="minorHAnsi"/>
          <w:i/>
          <w:iCs/>
          <w:sz w:val="24"/>
          <w:szCs w:val="24"/>
        </w:rPr>
        <w:t xml:space="preserve">...................................</w:t>
      </w:r>
      <w:r>
        <w:rPr>
          <w:rFonts w:cstheme="minorHAnsi"/>
          <w:i/>
          <w:iCs/>
          <w:sz w:val="24"/>
          <w:szCs w:val="24"/>
        </w:rPr>
        <w:t xml:space="preserve">.........................................................................</w:t>
      </w:r>
      <w:r>
        <w:rPr>
          <w:rFonts w:cstheme="minorHAnsi"/>
          <w:bCs/>
          <w:i/>
          <w:sz w:val="24"/>
          <w:szCs w:val="24"/>
        </w:rPr>
        <w:t xml:space="preserve">........</w:t>
      </w:r>
    </w:p>
    <w:p>
      <w:pPr>
        <w:spacing w:after="0" w:line="240" w:lineRule="auto"/>
        <w:ind w:firstLine="1418"/>
        <w:jc w:val="both"/>
        <w:rPr>
          <w:rFonts w:cstheme="minorHAnsi"/>
          <w:bCs/>
          <w:i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Cargo: AUXILIAR LEGISLATIVO II</w:t>
      </w:r>
    </w:p>
    <w:p>
      <w:pPr>
        <w:spacing w:after="0" w:line="240" w:lineRule="auto"/>
        <w:ind w:firstLine="1418"/>
        <w:jc w:val="both"/>
        <w:rPr>
          <w:rFonts w:cstheme="minorHAnsi"/>
          <w:bCs/>
          <w:i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Padrão de Vencimento: 04 (quatro)</w:t>
      </w:r>
    </w:p>
    <w:p>
      <w:pPr>
        <w:spacing w:after="0" w:line="240" w:lineRule="auto"/>
        <w:ind w:firstLine="1418"/>
        <w:jc w:val="both"/>
        <w:rPr>
          <w:rFonts w:cstheme="minorHAnsi"/>
          <w:bCs/>
          <w:i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............................................................................................................</w:t>
      </w:r>
      <w:r>
        <w:rPr>
          <w:rFonts w:cstheme="minorHAnsi"/>
          <w:i/>
          <w:iCs/>
          <w:sz w:val="24"/>
          <w:szCs w:val="24"/>
        </w:rPr>
        <w:t xml:space="preserve">.......</w:t>
      </w:r>
    </w:p>
    <w:p>
      <w:pPr>
        <w:spacing w:after="0" w:line="240" w:lineRule="auto"/>
        <w:ind w:firstLine="1418"/>
        <w:jc w:val="both"/>
      </w:pPr>
      <w:r>
        <w:rPr>
          <w:rFonts w:cstheme="minorHAnsi"/>
          <w:i/>
          <w:iCs/>
          <w:sz w:val="24"/>
          <w:szCs w:val="24"/>
        </w:rPr>
        <w:t xml:space="preserve">Cargo: OFICIAL DE RECURSOS HUMANOS</w:t>
      </w:r>
    </w:p>
    <w:p>
      <w:pPr>
        <w:spacing w:after="0" w:line="240" w:lineRule="auto"/>
        <w:ind w:firstLine="1418"/>
        <w:jc w:val="both"/>
      </w:pPr>
      <w:r>
        <w:rPr>
          <w:rFonts w:cstheme="minorHAnsi"/>
          <w:i/>
          <w:iCs/>
          <w:sz w:val="24"/>
          <w:szCs w:val="24"/>
        </w:rPr>
        <w:t xml:space="preserve">Padrão de Vencimento: 04</w:t>
      </w:r>
      <w:r>
        <w:rPr>
          <w:rFonts w:cstheme="minorHAnsi"/>
          <w:bCs/>
          <w:i/>
          <w:sz w:val="24"/>
          <w:szCs w:val="24"/>
        </w:rPr>
        <w:t xml:space="preserve"> (quatro)</w:t>
      </w:r>
    </w:p>
    <w:p>
      <w:pPr>
        <w:spacing w:after="198" w:line="240" w:lineRule="auto"/>
        <w:ind w:firstLine="1418"/>
        <w:jc w:val="both"/>
        <w:rPr>
          <w:bCs/>
        </w:rPr>
      </w:pPr>
      <w:r>
        <w:rPr>
          <w:rFonts w:cstheme="minorHAnsi"/>
          <w:i/>
          <w:iCs/>
          <w:sz w:val="24"/>
          <w:szCs w:val="24"/>
        </w:rPr>
        <w:t xml:space="preserve">............................................................................................................</w:t>
      </w:r>
      <w:r>
        <w:rPr>
          <w:rFonts w:cstheme="minorHAnsi"/>
          <w:i/>
          <w:iCs/>
          <w:sz w:val="24"/>
          <w:szCs w:val="24"/>
        </w:rPr>
        <w:t xml:space="preserve">”(NR)</w:t>
      </w:r>
    </w:p>
    <w:p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3º. </w:t>
      </w:r>
      <w:r>
        <w:rPr>
          <w:rFonts w:cstheme="minorHAnsi"/>
          <w:sz w:val="24"/>
          <w:szCs w:val="24"/>
        </w:rPr>
        <w:t xml:space="preserve">As despesas subsequentes da execução da presente Lei cor</w:t>
      </w:r>
      <w:r>
        <w:rPr>
          <w:rFonts w:cstheme="minorHAnsi"/>
          <w:sz w:val="24"/>
          <w:szCs w:val="24"/>
        </w:rPr>
        <w:t xml:space="preserve">rerão por conta de dotação orçamentária própria suplementada se </w:t>
      </w:r>
      <w:r>
        <w:rPr>
          <w:rFonts w:cstheme="minorHAnsi"/>
          <w:sz w:val="24"/>
          <w:szCs w:val="24"/>
        </w:rPr>
        <w:t xml:space="preserve">necessário</w:t>
      </w:r>
      <w:r>
        <w:rPr>
          <w:rFonts w:cstheme="minorHAnsi"/>
          <w:sz w:val="24"/>
          <w:szCs w:val="24"/>
        </w:rPr>
        <w:t xml:space="preserve">, a saber:</w:t>
      </w:r>
    </w:p>
    <w:p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3.1.90.08 IPERGS</w:t>
      </w:r>
    </w:p>
    <w:p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3.1.90.11 VENCIMENTOS</w:t>
      </w:r>
    </w:p>
    <w:p>
      <w:pPr>
        <w:spacing w:after="198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3.1.91.13 OBRIGAÇÕES PATRONAIS</w:t>
      </w:r>
    </w:p>
    <w:p>
      <w:pPr>
        <w:spacing w:after="397" w:line="240" w:lineRule="auto"/>
        <w:ind w:firstLine="1418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 xml:space="preserve">Art. 4º. </w:t>
      </w:r>
      <w:r>
        <w:rPr>
          <w:rFonts w:cstheme="minorHAnsi"/>
          <w:sz w:val="24"/>
          <w:szCs w:val="24"/>
        </w:rPr>
        <w:t xml:space="preserve">Esta lei entra em vigor na data de sua publicação.</w:t>
      </w:r>
    </w:p>
    <w:p>
      <w:pPr>
        <w:spacing w:before="198"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GABINETE DO PREFEITO MUNICIPAL DE CANGUÇU</w:t>
      </w:r>
    </w:p>
    <w:p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Canguçu/RS</w:t>
      </w:r>
    </w:p>
    <w:p>
      <w:pPr>
        <w:spacing w:line="240" w:lineRule="auto"/>
        <w:rPr>
          <w:rFonts w:cstheme="minorHAnsi"/>
          <w:b/>
          <w:bCs/>
          <w:sz w:val="24"/>
          <w:szCs w:val="24"/>
        </w:rPr>
      </w:pPr>
    </w:p>
    <w:p>
      <w:pPr>
        <w:spacing w:line="240" w:lineRule="auto"/>
        <w:rPr>
          <w:rFonts w:cstheme="minorHAnsi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MARCUS VINICIUS MULLER PEGORARO</w:t>
      </w:r>
    </w:p>
    <w:p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Prefeito Municipal</w:t>
      </w:r>
    </w:p>
    <w:p>
      <w:pPr>
        <w:spacing w:line="240" w:lineRule="auto"/>
        <w:jc w:val="both"/>
        <w:rPr>
          <w:rFonts w:cstheme="minorHAnsi"/>
          <w:sz w:val="24"/>
          <w:szCs w:val="24"/>
        </w:rPr>
      </w:pPr>
    </w:p>
    <w:p>
      <w:pPr>
        <w:spacing w:after="113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Iniciativa: Poder Legislativo</w:t>
      </w:r>
    </w:p>
    <w:p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Autoria: Mesa Diretora – Luciano Zanetti </w:t>
      </w:r>
      <w:r>
        <w:rPr>
          <w:rFonts w:cstheme="minorHAnsi"/>
          <w:sz w:val="24"/>
          <w:szCs w:val="24"/>
        </w:rPr>
        <w:t xml:space="preserve">Bertinetti</w:t>
      </w:r>
      <w:r>
        <w:rPr>
          <w:rFonts w:cstheme="minorHAnsi"/>
          <w:sz w:val="24"/>
          <w:szCs w:val="24"/>
        </w:rPr>
        <w:t xml:space="preserve">, Emerson </w:t>
      </w:r>
      <w:r>
        <w:rPr>
          <w:rFonts w:cstheme="minorHAnsi"/>
          <w:sz w:val="24"/>
          <w:szCs w:val="24"/>
        </w:rPr>
        <w:t xml:space="preserve">Henzel</w:t>
      </w:r>
      <w:r>
        <w:rPr>
          <w:rFonts w:cstheme="minorHAnsi"/>
          <w:sz w:val="24"/>
          <w:szCs w:val="24"/>
        </w:rPr>
        <w:t xml:space="preserve"> Machado, Diego Romão </w:t>
      </w:r>
      <w:r>
        <w:rPr>
          <w:rFonts w:cstheme="minorHAnsi"/>
          <w:sz w:val="24"/>
          <w:szCs w:val="24"/>
        </w:rPr>
        <w:t xml:space="preserve">Helvig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Wolter</w:t>
      </w:r>
      <w:r>
        <w:rPr>
          <w:rFonts w:cstheme="minorHAnsi"/>
          <w:sz w:val="24"/>
          <w:szCs w:val="24"/>
        </w:rPr>
        <w:t xml:space="preserve">, Marcelo </w:t>
      </w:r>
      <w:r>
        <w:rPr>
          <w:rFonts w:cstheme="minorHAnsi"/>
          <w:sz w:val="24"/>
          <w:szCs w:val="24"/>
        </w:rPr>
        <w:t xml:space="preserve">Romig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Maron</w:t>
      </w:r>
      <w:r>
        <w:rPr>
          <w:rFonts w:cstheme="minorHAnsi"/>
          <w:sz w:val="24"/>
          <w:szCs w:val="24"/>
        </w:rPr>
        <w:t xml:space="preserve"> e Silvio </w:t>
      </w:r>
      <w:r>
        <w:rPr>
          <w:rFonts w:cstheme="minorHAnsi"/>
          <w:sz w:val="24"/>
          <w:szCs w:val="24"/>
        </w:rPr>
        <w:t xml:space="preserve">Venzke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Neutzling</w:t>
      </w:r>
      <w:r>
        <w:rPr>
          <w:rFonts w:cstheme="minorHAnsi"/>
          <w:sz w:val="24"/>
          <w:szCs w:val="24"/>
        </w:rPr>
        <w:t xml:space="preserve">.</w:t>
      </w:r>
    </w:p>
    <w:sectPr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center"/>
      <w:rPr>
        <w:rFonts w:ascii="Calibri" w:hAnsi="Calibri" w:cs="Calibri"/>
        <w:sz w:val="20"/>
        <w:highlight w:val="yellow"/>
      </w:rPr>
    </w:pPr>
  </w:p>
  <w:p>
    <w:pPr>
      <w:pStyle w:val="Footer"/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Rua General Osório, 979. Centro. CEP: 96600-000. Canguçu – RS </w:t>
    </w:r>
  </w:p>
  <w:p>
    <w:pPr>
      <w:pStyle w:val="Footer"/>
      <w:jc w:val="center"/>
      <w:rPr>
        <w:rFonts w:ascii="Calibri" w:hAnsi="Calibri"/>
        <w:color w:val="0563c1"/>
        <w:sz w:val="20"/>
        <w:u w:val="single"/>
      </w:rPr>
    </w:pPr>
    <w:r>
      <w:rPr>
        <w:rFonts w:ascii="Calibri" w:hAnsi="Calibri" w:cs="Calibri"/>
        <w:sz w:val="20"/>
      </w:rPr>
      <w:t xml:space="preserve">Telefone: (53) 3252-1528. http://camaracangucu.rs.gov.br/</w:t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eastAsia="pt-BR"/>
      </w:rPr>
    </w:r>
    <w:r>
      <w:rPr>
        <w:rFonts w:ascii="Verdana" w:hAnsi="Verdana"/>
        <w:sz w:val="16"/>
        <w:szCs w:val="16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550" cy="628650"/>
              <wp:effectExtent l="0" t="0" r="0" b="0"/>
              <wp:docPr id="2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905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.5pt;height:49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</w:p>
  <w:p>
    <w:pPr>
      <w:pStyle w:val="Header"/>
      <w:jc w:val="center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CÂMARA MUNICIPAL DE CANGUÇU</w:t>
    </w:r>
  </w:p>
  <w:p>
    <w:pPr>
      <w:pStyle w:val="Header"/>
      <w:jc w:val="center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ESTADO DO RIO GRANDE DO SUL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56EC0F84">
      <w:start w:val="1"/>
      <w:numFmt w:val="bullet"/>
      <w:lvlText w:val=""/>
      <w:lvlJc w:val="left"/>
      <w:pPr>
        <w:ind w:left="720" w:hanging="360"/>
      </w:pPr>
      <w:rPr>
        <w:rFonts w:hint="default" w:ascii="Symbol" w:hAnsi="Symbol"/>
        <w:b/>
      </w:rPr>
    </w:lvl>
    <w:lvl w:ilvl="1" w:tplc="ABA200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6EE7D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1AFD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5419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82A5F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ACFF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DE4B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D1E3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C5A022FE">
      <w:start w:val="33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E7A420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81EF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4A67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A495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17A1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64F6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B283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C665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A0C65380">
      <w:start w:val="33"/>
      <w:numFmt w:val="bullet"/>
      <w:lvlText w:val=""/>
      <w:lvlJc w:val="left"/>
      <w:pPr>
        <w:ind w:left="218" w:hanging="360"/>
      </w:pPr>
      <w:rPr>
        <w:rFonts w:hint="default" w:ascii="Symbol" w:hAnsi="Symbol" w:eastAsiaTheme="minorHAnsi" w:cstheme="minorBidi"/>
      </w:rPr>
    </w:lvl>
    <w:lvl w:ilvl="1" w:tplc="BB4024D2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EBFCEBC4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3F6ECB2A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C4B26C8E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ED56829E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4D9A63F8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9DB25014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7CF2CF7A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Heading1" w:customStyle="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Fontepargpadro"/>
    <w:link w:val="Heading1"/>
    <w:uiPriority w:val="9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Fontepargpadro"/>
    <w:link w:val="Heading2"/>
    <w:uiPriority w:val="9"/>
    <w:rPr>
      <w:rFonts w:ascii="Arial" w:hAnsi="Arial" w:eastAsia="Arial" w:cs="Arial"/>
      <w:sz w:val="34"/>
    </w:rPr>
  </w:style>
  <w:style w:type="paragraph" w:styleId="Heading3" w:customStyle="1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Fontepargpadro"/>
    <w:link w:val="Heading3"/>
    <w:uiPriority w:val="9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Heading4Char" w:customStyle="1">
    <w:name w:val="Heading 4 Char"/>
    <w:basedOn w:val="Fontepargpadro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Heading5Char" w:customStyle="1">
    <w:name w:val="Heading 5 Char"/>
    <w:basedOn w:val="Fontepargpadro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character" w:styleId="Heading6Char" w:customStyle="1">
    <w:name w:val="Heading 6 Char"/>
    <w:basedOn w:val="Fontepargpadro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paragraph" w:styleId="Heading7" w:customStyle="1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Heading7Char" w:customStyle="1">
    <w:name w:val="Heading 7 Char"/>
    <w:basedOn w:val="Fontepargpadro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 w:customStyle="1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character" w:styleId="Heading8Char" w:customStyle="1">
    <w:name w:val="Heading 8 Char"/>
    <w:basedOn w:val="Fontepargpadro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paragraph" w:styleId="Heading9" w:customStyle="1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9Char" w:customStyle="1">
    <w:name w:val="Heading 9 Char"/>
    <w:basedOn w:val="Fontepargpadro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styleId="TtuloChar" w:customStyle="1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styleId="CitaoChar" w:customStyle="1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CitaoIntensaChar" w:customStyle="1">
    <w:name w:val="Citação Intensa Char"/>
    <w:link w:val="CitaoIntensa"/>
    <w:uiPriority w:val="30"/>
    <w:rPr>
      <w:i/>
    </w:rPr>
  </w:style>
  <w:style w:type="character" w:styleId="HeaderChar" w:customStyle="1">
    <w:name w:val="Header Char"/>
    <w:basedOn w:val="Fontepargpadro"/>
    <w:link w:val="Header"/>
    <w:uiPriority w:val="99"/>
  </w:style>
  <w:style w:type="character" w:styleId="FooterChar" w:customStyle="1">
    <w:name w:val="Footer Char"/>
    <w:basedOn w:val="Fontepargpadro"/>
    <w:link w:val="Footer"/>
    <w:uiPriority w:val="99"/>
  </w:style>
  <w:style w:type="paragraph" w:styleId="Caption" w:customStyle="1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link w:val="Footer"/>
    <w:uiPriority w:val="99"/>
  </w:style>
  <w:style w:type="table" w:styleId="TableGridLight" w:customStyle="1">
    <w:name w:val="Table Grid Light"/>
    <w:basedOn w:val="Tabelanormal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Tabelanormal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tcPr>
        <w:shd w:val="clear" w:color="f2f2f2" w:themeColor="text1" w:themeTint="00" w:fill="f2f2f2" w:themeFill="text1" w:themeFillTint="00"/>
      </w:tcPr>
    </w:tblStylePr>
  </w:style>
  <w:style w:type="table" w:styleId="PlainTable2" w:customStyle="1">
    <w:name w:val="Plain Table 2"/>
    <w:basedOn w:val="Tabela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4" w:customStyle="1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5" w:customStyle="1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GridTable1Light" w:customStyle="1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Lined-Accent1" w:customStyle="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BorderedLined-Accent1" w:customStyle="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styleId="TextodenotaderodapChar" w:customStyle="1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styleId="TextodenotadefimChar" w:customStyle="1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Header" w:customStyle="1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Header"/>
  </w:style>
  <w:style w:type="paragraph" w:styleId="Footer" w:customStyle="1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Footer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D3A6E-65E9-4EFB-9DC7-21E44008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haracters>4385</Characters>
  <CharactersWithSpaces>5186</CharactersWithSpaces>
  <Company>Grizli777</Company>
  <DocSecurity>0</DocSecurity>
  <HyperlinksChanged>false</HyperlinksChanged>
  <Lines>36</Lines>
  <LinksUpToDate>false</LinksUpToDate>
  <Pages>4</Pages>
  <Paragraphs>10</Paragraphs>
  <ScaleCrop>false</ScaleCrop>
  <SharedDoc>false</SharedDoc>
  <Template>Normal</Template>
  <TotalTime>4</TotalTime>
  <Words>811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assessor.secretaria</dc:creator>
  <cp:keywords/>
  <dc:description/>
  <cp:lastModifiedBy>assessor.secretaria</cp:lastModifiedBy>
  <cp:revision>34</cp:revision>
  <dcterms:created xsi:type="dcterms:W3CDTF">2022-12-05T13:19:00Z</dcterms:created>
  <dcterms:modified xsi:type="dcterms:W3CDTF">2023-02-09T14:22:00Z</dcterms:modified>
</cp:coreProperties>
</file>